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 w:firstLine="3260" w:left="2834" w:right="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</w:t>
      </w:r>
    </w:p>
    <w:p w14:paraId="04000000">
      <w:pPr>
        <w:ind w:firstLine="3260" w:left="-709" w:right="0"/>
        <w:jc w:val="center"/>
        <w:rPr>
          <w:sz w:val="28"/>
        </w:rPr>
      </w:pPr>
      <w:r>
        <w:rPr>
          <w:sz w:val="28"/>
        </w:rPr>
        <w:t xml:space="preserve">    к письму </w:t>
      </w:r>
    </w:p>
    <w:p w14:paraId="05000000">
      <w:pPr>
        <w:ind w:firstLine="4111" w:left="-1134" w:right="-2"/>
        <w:jc w:val="center"/>
        <w:rPr>
          <w:sz w:val="28"/>
        </w:rPr>
      </w:pPr>
      <w:r>
        <w:rPr>
          <w:sz w:val="28"/>
        </w:rPr>
        <w:t>администрации</w:t>
      </w:r>
      <w:r>
        <w:rPr>
          <w:sz w:val="28"/>
        </w:rPr>
        <w:t xml:space="preserve"> </w:t>
      </w:r>
      <w:r>
        <w:rPr>
          <w:sz w:val="28"/>
        </w:rPr>
        <w:t xml:space="preserve">Промышленновского </w:t>
      </w:r>
      <w:r>
        <w:rPr>
          <w:sz w:val="28"/>
        </w:rPr>
        <w:t xml:space="preserve">        </w:t>
      </w:r>
    </w:p>
    <w:p w14:paraId="06000000">
      <w:pPr>
        <w:ind w:firstLine="4111" w:left="-1134" w:right="-2"/>
        <w:jc w:val="center"/>
        <w:rPr>
          <w:sz w:val="28"/>
        </w:rPr>
      </w:pPr>
      <w:r>
        <w:rPr>
          <w:sz w:val="28"/>
        </w:rPr>
        <w:t xml:space="preserve">муниципального </w:t>
      </w:r>
      <w:r>
        <w:rPr>
          <w:sz w:val="28"/>
        </w:rPr>
        <w:t>округ</w:t>
      </w:r>
      <w:r>
        <w:rPr>
          <w:sz w:val="28"/>
        </w:rPr>
        <w:t>а</w:t>
      </w:r>
    </w:p>
    <w:p w14:paraId="07000000">
      <w:pPr>
        <w:ind w:firstLine="3402" w:left="-1134" w:right="-2"/>
        <w:jc w:val="center"/>
        <w:rPr>
          <w:b w:val="0"/>
          <w:sz w:val="28"/>
        </w:rPr>
      </w:pPr>
      <w:r>
        <w:rPr>
          <w:sz w:val="28"/>
        </w:rPr>
        <w:t xml:space="preserve">        </w:t>
      </w:r>
      <w:r>
        <w:rPr>
          <w:sz w:val="28"/>
        </w:rPr>
        <w:t xml:space="preserve">от </w:t>
      </w:r>
      <w:r>
        <w:rPr>
          <w:sz w:val="28"/>
          <w:u w:val="single"/>
        </w:rPr>
        <w:t>30.04.</w:t>
      </w:r>
      <w:r>
        <w:rPr>
          <w:sz w:val="28"/>
          <w:u w:val="single"/>
        </w:rPr>
        <w:t>2026</w:t>
      </w:r>
      <w:r>
        <w:rPr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</w:rPr>
        <w:t>01-62Э</w:t>
      </w:r>
      <w:r>
        <w:rPr>
          <w:b w:val="0"/>
          <w:sz w:val="28"/>
        </w:rPr>
        <w:t>/197</w:t>
      </w:r>
    </w:p>
    <w:p w14:paraId="08000000">
      <w:pPr>
        <w:ind w:firstLine="0" w:left="-1134" w:right="-2"/>
        <w:jc w:val="center"/>
        <w:rPr>
          <w:b w:val="1"/>
          <w:sz w:val="28"/>
        </w:rPr>
      </w:pPr>
    </w:p>
    <w:p w14:paraId="09000000">
      <w:pPr>
        <w:ind w:firstLine="0" w:left="-1134" w:right="-2"/>
        <w:jc w:val="center"/>
        <w:rPr>
          <w:b w:val="1"/>
          <w:sz w:val="28"/>
        </w:rPr>
      </w:pPr>
      <w:r>
        <w:rPr>
          <w:b w:val="1"/>
          <w:sz w:val="28"/>
        </w:rPr>
        <w:t>Пояснительная записка</w:t>
      </w:r>
    </w:p>
    <w:p w14:paraId="0A000000">
      <w:pPr>
        <w:ind w:firstLine="0" w:left="-1134" w:right="-2"/>
        <w:jc w:val="center"/>
        <w:rPr>
          <w:sz w:val="28"/>
        </w:rPr>
      </w:pPr>
      <w:r>
        <w:rPr>
          <w:sz w:val="28"/>
        </w:rPr>
        <w:t xml:space="preserve">к   докладу  </w:t>
      </w:r>
      <w:r>
        <w:rPr>
          <w:sz w:val="28"/>
        </w:rPr>
        <w:t xml:space="preserve">главы   Промышленновского  муниципального  </w:t>
      </w:r>
      <w:r>
        <w:rPr>
          <w:sz w:val="28"/>
        </w:rPr>
        <w:t>округ</w:t>
      </w:r>
      <w:r>
        <w:rPr>
          <w:sz w:val="28"/>
        </w:rPr>
        <w:t xml:space="preserve">а </w:t>
      </w:r>
      <w:r>
        <w:rPr>
          <w:sz w:val="28"/>
        </w:rPr>
        <w:t xml:space="preserve"> </w:t>
      </w:r>
      <w:r>
        <w:rPr>
          <w:sz w:val="28"/>
        </w:rPr>
        <w:t xml:space="preserve">              С</w:t>
      </w:r>
      <w:r>
        <w:rPr>
          <w:sz w:val="28"/>
        </w:rPr>
        <w:t>.А</w:t>
      </w:r>
      <w:r>
        <w:rPr>
          <w:sz w:val="28"/>
        </w:rPr>
        <w:t>. Федарюка</w:t>
      </w:r>
      <w:r>
        <w:rPr>
          <w:sz w:val="28"/>
        </w:rPr>
        <w:t xml:space="preserve"> </w:t>
      </w:r>
      <w:r>
        <w:rPr>
          <w:sz w:val="28"/>
        </w:rPr>
        <w:t xml:space="preserve"> о достигнутых значениях показателей для оценки эффективности деятельности  органов местного самоуправления  Промышленновского муниципального </w:t>
      </w:r>
      <w:r>
        <w:rPr>
          <w:sz w:val="28"/>
        </w:rPr>
        <w:t>округ</w:t>
      </w:r>
      <w:r>
        <w:rPr>
          <w:sz w:val="28"/>
        </w:rPr>
        <w:t>а за 20</w:t>
      </w:r>
      <w:r>
        <w:rPr>
          <w:sz w:val="28"/>
        </w:rPr>
        <w:t>25</w:t>
      </w:r>
      <w:r>
        <w:rPr>
          <w:sz w:val="28"/>
        </w:rPr>
        <w:t xml:space="preserve"> год и их планируемых значениях на 20</w:t>
      </w:r>
      <w:r>
        <w:rPr>
          <w:sz w:val="28"/>
        </w:rPr>
        <w:t>26</w:t>
      </w:r>
      <w:r>
        <w:rPr>
          <w:sz w:val="28"/>
        </w:rPr>
        <w:t xml:space="preserve"> </w:t>
      </w:r>
      <w:r>
        <w:rPr>
          <w:sz w:val="28"/>
        </w:rPr>
        <w:t>-</w:t>
      </w:r>
      <w:r>
        <w:rPr>
          <w:sz w:val="28"/>
        </w:rPr>
        <w:t xml:space="preserve"> </w:t>
      </w:r>
      <w:r>
        <w:rPr>
          <w:sz w:val="28"/>
        </w:rPr>
        <w:t>2028</w:t>
      </w:r>
      <w:r>
        <w:rPr>
          <w:sz w:val="28"/>
        </w:rPr>
        <w:t xml:space="preserve"> годы.</w:t>
      </w:r>
    </w:p>
    <w:p w14:paraId="0B000000">
      <w:pPr>
        <w:ind w:firstLine="0" w:left="-1134" w:right="-2"/>
        <w:jc w:val="both"/>
        <w:rPr>
          <w:sz w:val="28"/>
        </w:rPr>
      </w:pPr>
    </w:p>
    <w:p w14:paraId="0C000000">
      <w:pPr>
        <w:ind w:firstLine="0" w:left="-1134" w:right="-2"/>
        <w:jc w:val="center"/>
        <w:rPr>
          <w:b w:val="1"/>
          <w:sz w:val="28"/>
        </w:rPr>
      </w:pPr>
      <w:r>
        <w:rPr>
          <w:b w:val="1"/>
          <w:sz w:val="28"/>
        </w:rPr>
        <w:t>Экономическое развитие</w:t>
      </w:r>
    </w:p>
    <w:p w14:paraId="0D000000">
      <w:pPr>
        <w:ind w:firstLine="0" w:left="-1134" w:right="-2"/>
        <w:jc w:val="center"/>
        <w:rPr>
          <w:b w:val="1"/>
          <w:sz w:val="28"/>
        </w:rPr>
      </w:pPr>
    </w:p>
    <w:p w14:paraId="0E000000">
      <w:pPr>
        <w:pStyle w:val="Style_2"/>
        <w:ind w:firstLine="709" w:left="-1134" w:right="-2"/>
        <w:rPr>
          <w:sz w:val="28"/>
        </w:rPr>
      </w:pPr>
      <w:r>
        <w:rPr>
          <w:sz w:val="28"/>
        </w:rPr>
        <w:t>Число субъектов малого и среднего  предпринимательства по состоянию на 0</w:t>
      </w:r>
      <w:r>
        <w:rPr>
          <w:sz w:val="28"/>
        </w:rPr>
        <w:t>1.01.20</w:t>
      </w:r>
      <w:r>
        <w:rPr>
          <w:sz w:val="28"/>
        </w:rPr>
        <w:t>26</w:t>
      </w:r>
      <w:r>
        <w:rPr>
          <w:sz w:val="28"/>
        </w:rPr>
        <w:t xml:space="preserve"> года </w:t>
      </w:r>
      <w:r>
        <w:rPr>
          <w:sz w:val="28"/>
        </w:rPr>
        <w:t>составляло</w:t>
      </w:r>
      <w:r>
        <w:rPr>
          <w:sz w:val="28"/>
        </w:rPr>
        <w:t xml:space="preserve"> 1 050</w:t>
      </w:r>
      <w:r>
        <w:rPr>
          <w:b w:val="1"/>
          <w:sz w:val="28"/>
        </w:rPr>
        <w:t>,</w:t>
      </w:r>
      <w:r>
        <w:rPr>
          <w:sz w:val="28"/>
        </w:rPr>
        <w:t xml:space="preserve"> в том числе малых предприятий – 1</w:t>
      </w:r>
      <w:r>
        <w:rPr>
          <w:sz w:val="28"/>
        </w:rPr>
        <w:t>38</w:t>
      </w:r>
      <w:r>
        <w:rPr>
          <w:sz w:val="28"/>
        </w:rPr>
        <w:t>,</w:t>
      </w:r>
      <w:r>
        <w:rPr>
          <w:sz w:val="28"/>
        </w:rPr>
        <w:t xml:space="preserve"> индивидуальных предпринимателей –</w:t>
      </w:r>
      <w:r>
        <w:rPr>
          <w:sz w:val="28"/>
        </w:rPr>
        <w:t xml:space="preserve"> 912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>Доля среднесписочной численности работников малых</w:t>
      </w:r>
      <w:r>
        <w:rPr>
          <w:sz w:val="28"/>
        </w:rPr>
        <w:t xml:space="preserve"> предприятий в среднесписочной численности работников всех предприятий и организаций составляет 28</w:t>
      </w:r>
      <w:r>
        <w:rPr>
          <w:sz w:val="28"/>
        </w:rPr>
        <w:t>,4</w:t>
      </w:r>
      <w:r>
        <w:rPr>
          <w:sz w:val="28"/>
        </w:rPr>
        <w:t xml:space="preserve"> %.</w:t>
      </w:r>
    </w:p>
    <w:p w14:paraId="0F000000">
      <w:pPr>
        <w:pStyle w:val="Style_2"/>
        <w:ind w:firstLine="709" w:left="-1134" w:right="-2"/>
        <w:rPr>
          <w:sz w:val="28"/>
        </w:rPr>
      </w:pPr>
      <w:r>
        <w:rPr>
          <w:sz w:val="28"/>
        </w:rPr>
        <w:t xml:space="preserve">Объем инвестиций в основной капитал за счет всех источников финансирования составил </w:t>
      </w:r>
      <w:r>
        <w:rPr>
          <w:sz w:val="28"/>
        </w:rPr>
        <w:t>8,</w:t>
      </w:r>
      <w:r>
        <w:rPr>
          <w:sz w:val="28"/>
        </w:rPr>
        <w:t>8</w:t>
      </w:r>
      <w:r>
        <w:rPr>
          <w:sz w:val="28"/>
        </w:rPr>
        <w:t xml:space="preserve"> млрд. рублей, что выше уровня 2024 года на </w:t>
      </w:r>
      <w:r>
        <w:rPr>
          <w:sz w:val="28"/>
        </w:rPr>
        <w:t>147,</w:t>
      </w:r>
      <w:r>
        <w:rPr>
          <w:sz w:val="28"/>
        </w:rPr>
        <w:t xml:space="preserve">3 %. Инвестиции в основной капитал за счет бюджетных средств составили 2,7 млрд. рублей. Инвестиции в основной капитал за счет собственных средств составили 0,8 млрд. рублей. Инвестиции в основной капитал за счет привлеченных средств составили 3,4 млрд. рублей. </w:t>
      </w:r>
    </w:p>
    <w:p w14:paraId="10000000">
      <w:pPr>
        <w:ind w:firstLine="709" w:left="-1134" w:right="-2"/>
        <w:jc w:val="both"/>
        <w:rPr>
          <w:sz w:val="28"/>
        </w:rPr>
      </w:pPr>
      <w:r>
        <w:rPr>
          <w:sz w:val="28"/>
        </w:rPr>
        <w:t xml:space="preserve">Одним из приоритетных направлений экономического развития </w:t>
      </w:r>
      <w:r>
        <w:rPr>
          <w:sz w:val="28"/>
        </w:rPr>
        <w:t>округ</w:t>
      </w:r>
      <w:r>
        <w:rPr>
          <w:sz w:val="28"/>
        </w:rPr>
        <w:t xml:space="preserve">а является сельское хозяйство. </w:t>
      </w:r>
    </w:p>
    <w:p w14:paraId="11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Инвестиции в агропромышленный комплекс составили более 3,3</w:t>
      </w:r>
      <w:r>
        <w:rPr>
          <w:sz w:val="28"/>
        </w:rPr>
        <w:t xml:space="preserve"> млрд. рублей. Направлены они были на строительство зерноскладов и кормового центра, а также приобретение сельскохозяйственной техники, машин и оборудования.</w:t>
      </w:r>
    </w:p>
    <w:p w14:paraId="12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ООО МТФ «Родная земля» продолжает реализовывать инвестиционный проект «Новая ферма» (инвестиционная стоимость проекта 4,10 млрд. рублей). В 2025 году  продолжается строительство  животноводческого  комплекса  на 3 350 голов крупного рогатого скота. В  2025  году  инвестиционный проект реализован на 3,4 млрд. рублей (83 % к общему объему вложений).</w:t>
      </w:r>
    </w:p>
    <w:p w14:paraId="13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За 2025 год произведено сельскохозяйственной продукции на сумму более 7,2 млрд. рублей (на 33,6 % выше аналогичного показателя за 2024 год).</w:t>
      </w:r>
    </w:p>
    <w:p w14:paraId="14000000">
      <w:pPr>
        <w:ind w:firstLine="709" w:left="-1134" w:right="-2"/>
        <w:jc w:val="both"/>
        <w:rPr>
          <w:sz w:val="28"/>
        </w:rPr>
      </w:pPr>
      <w:r>
        <w:rPr>
          <w:sz w:val="28"/>
        </w:rPr>
        <w:t xml:space="preserve">Доля прибыльных сельскохозяйственных </w:t>
      </w:r>
      <w:r>
        <w:rPr>
          <w:sz w:val="28"/>
        </w:rPr>
        <w:t>организаций</w:t>
      </w:r>
      <w:r>
        <w:rPr>
          <w:sz w:val="28"/>
        </w:rPr>
        <w:t xml:space="preserve"> в общем их числе в 20</w:t>
      </w:r>
      <w:r>
        <w:rPr>
          <w:sz w:val="28"/>
        </w:rPr>
        <w:t>25</w:t>
      </w:r>
      <w:r>
        <w:rPr>
          <w:sz w:val="28"/>
        </w:rPr>
        <w:t xml:space="preserve"> </w:t>
      </w:r>
      <w:r>
        <w:rPr>
          <w:sz w:val="28"/>
        </w:rPr>
        <w:t xml:space="preserve"> году составила</w:t>
      </w:r>
      <w:r>
        <w:rPr>
          <w:sz w:val="28"/>
        </w:rPr>
        <w:t xml:space="preserve"> 76</w:t>
      </w:r>
      <w:r>
        <w:rPr>
          <w:sz w:val="28"/>
        </w:rPr>
        <w:t>,9</w:t>
      </w:r>
      <w:r>
        <w:rPr>
          <w:sz w:val="28"/>
        </w:rPr>
        <w:t xml:space="preserve"> % (за 2024 год – 50 %).</w:t>
      </w:r>
    </w:p>
    <w:p w14:paraId="15000000">
      <w:pPr>
        <w:ind w:firstLine="709" w:left="-1134" w:right="-2"/>
        <w:jc w:val="both"/>
        <w:rPr>
          <w:sz w:val="28"/>
        </w:rPr>
      </w:pPr>
      <w:r>
        <w:rPr>
          <w:sz w:val="28"/>
        </w:rPr>
        <w:t xml:space="preserve">Одной из причин убыточности организаций является </w:t>
      </w:r>
      <w:r>
        <w:rPr>
          <w:sz w:val="28"/>
        </w:rPr>
        <w:t>снижение цены реализации на зерновые и технические культуры</w:t>
      </w:r>
      <w:r>
        <w:rPr>
          <w:sz w:val="28"/>
        </w:rPr>
        <w:t>.</w:t>
      </w:r>
    </w:p>
    <w:p w14:paraId="16000000">
      <w:pPr>
        <w:ind w:firstLine="709" w:left="-1134" w:right="-2"/>
        <w:jc w:val="both"/>
        <w:rPr>
          <w:sz w:val="28"/>
          <w:u w:val="single"/>
        </w:rPr>
      </w:pPr>
      <w:r>
        <w:rPr>
          <w:sz w:val="28"/>
        </w:rPr>
        <w:t>Производство продукции животноводства: скот и птица на убой в живом весе – 3</w:t>
      </w:r>
      <w:r>
        <w:rPr>
          <w:sz w:val="28"/>
        </w:rPr>
        <w:t xml:space="preserve"> 0</w:t>
      </w:r>
      <w:r>
        <w:rPr>
          <w:sz w:val="28"/>
        </w:rPr>
        <w:t>43</w:t>
      </w:r>
      <w:r>
        <w:rPr>
          <w:sz w:val="28"/>
        </w:rPr>
        <w:t xml:space="preserve"> тонн (59</w:t>
      </w:r>
      <w:r>
        <w:rPr>
          <w:sz w:val="28"/>
        </w:rPr>
        <w:t>,1</w:t>
      </w:r>
      <w:r>
        <w:rPr>
          <w:sz w:val="28"/>
        </w:rPr>
        <w:t xml:space="preserve"> </w:t>
      </w:r>
      <w:r>
        <w:rPr>
          <w:sz w:val="28"/>
        </w:rPr>
        <w:t>% к 2</w:t>
      </w:r>
      <w:r>
        <w:rPr>
          <w:sz w:val="28"/>
        </w:rPr>
        <w:t>0</w:t>
      </w:r>
      <w:r>
        <w:rPr>
          <w:sz w:val="28"/>
        </w:rPr>
        <w:t>24</w:t>
      </w:r>
      <w:r>
        <w:rPr>
          <w:sz w:val="28"/>
        </w:rPr>
        <w:t xml:space="preserve"> году), молоко – 66</w:t>
      </w:r>
      <w:r>
        <w:rPr>
          <w:sz w:val="28"/>
        </w:rPr>
        <w:t> 782</w:t>
      </w:r>
      <w:r>
        <w:rPr>
          <w:sz w:val="28"/>
        </w:rPr>
        <w:t xml:space="preserve"> тонн (</w:t>
      </w:r>
      <w:r>
        <w:rPr>
          <w:sz w:val="28"/>
        </w:rPr>
        <w:t>96</w:t>
      </w:r>
      <w:r>
        <w:rPr>
          <w:sz w:val="28"/>
        </w:rPr>
        <w:t>,1</w:t>
      </w:r>
      <w:r>
        <w:rPr>
          <w:sz w:val="28"/>
        </w:rPr>
        <w:t xml:space="preserve"> </w:t>
      </w:r>
      <w:r>
        <w:rPr>
          <w:sz w:val="28"/>
        </w:rPr>
        <w:t>% к 20</w:t>
      </w:r>
      <w:r>
        <w:rPr>
          <w:sz w:val="28"/>
        </w:rPr>
        <w:t>24</w:t>
      </w:r>
      <w:r>
        <w:rPr>
          <w:sz w:val="28"/>
        </w:rPr>
        <w:t xml:space="preserve"> году).</w:t>
      </w:r>
    </w:p>
    <w:p w14:paraId="17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Валовой сбор зерновых</w:t>
      </w:r>
      <w:r>
        <w:rPr>
          <w:sz w:val="28"/>
        </w:rPr>
        <w:t xml:space="preserve"> культур </w:t>
      </w:r>
      <w:r>
        <w:rPr>
          <w:sz w:val="28"/>
        </w:rPr>
        <w:t xml:space="preserve"> в 20</w:t>
      </w:r>
      <w:r>
        <w:rPr>
          <w:sz w:val="28"/>
        </w:rPr>
        <w:t>25</w:t>
      </w:r>
      <w:r>
        <w:rPr>
          <w:sz w:val="28"/>
        </w:rPr>
        <w:t xml:space="preserve"> году </w:t>
      </w:r>
      <w:r>
        <w:rPr>
          <w:sz w:val="28"/>
        </w:rPr>
        <w:t>составил 250</w:t>
      </w:r>
      <w:r>
        <w:rPr>
          <w:sz w:val="28"/>
        </w:rPr>
        <w:t>,9</w:t>
      </w:r>
      <w:r>
        <w:rPr>
          <w:sz w:val="28"/>
        </w:rPr>
        <w:t xml:space="preserve"> тыс.</w:t>
      </w:r>
      <w:r>
        <w:rPr>
          <w:sz w:val="28"/>
        </w:rPr>
        <w:t xml:space="preserve"> тонн</w:t>
      </w:r>
      <w:r>
        <w:rPr>
          <w:sz w:val="28"/>
        </w:rPr>
        <w:t xml:space="preserve"> </w:t>
      </w:r>
      <w:r>
        <w:rPr>
          <w:sz w:val="28"/>
        </w:rPr>
        <w:t xml:space="preserve">               </w:t>
      </w:r>
      <w:r>
        <w:rPr>
          <w:sz w:val="28"/>
        </w:rPr>
        <w:t>(146</w:t>
      </w:r>
      <w:r>
        <w:rPr>
          <w:sz w:val="28"/>
        </w:rPr>
        <w:t>,6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% к уровню 20</w:t>
      </w:r>
      <w:r>
        <w:rPr>
          <w:sz w:val="28"/>
        </w:rPr>
        <w:t>24</w:t>
      </w:r>
      <w:r>
        <w:rPr>
          <w:sz w:val="28"/>
        </w:rPr>
        <w:t xml:space="preserve"> года),</w:t>
      </w:r>
      <w:r>
        <w:rPr>
          <w:sz w:val="28"/>
        </w:rPr>
        <w:t xml:space="preserve"> </w:t>
      </w:r>
      <w:r>
        <w:rPr>
          <w:sz w:val="28"/>
        </w:rPr>
        <w:t>у</w:t>
      </w:r>
      <w:r>
        <w:rPr>
          <w:sz w:val="28"/>
        </w:rPr>
        <w:t>рожайность –</w:t>
      </w:r>
      <w:r>
        <w:rPr>
          <w:sz w:val="28"/>
        </w:rPr>
        <w:t xml:space="preserve"> 31,7</w:t>
      </w:r>
      <w:r>
        <w:rPr>
          <w:sz w:val="28"/>
        </w:rPr>
        <w:t xml:space="preserve"> ц/га. (в прошлом году – 22,02 %).</w:t>
      </w:r>
    </w:p>
    <w:p w14:paraId="18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В 2025 году из федерального и республиканского бюджетов было направлено более 700,0 млн. рублей на поддержку отраслей животноводства и растениеводства сельхозпроизводителей Промышленновского округа.</w:t>
      </w:r>
    </w:p>
    <w:p w14:paraId="19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Одним из индикаторов качества жизни населения является уровень материального благосостояния, в том числе денежных доходов.</w:t>
      </w:r>
    </w:p>
    <w:p w14:paraId="1A000000">
      <w:pPr>
        <w:ind w:firstLine="709" w:left="-1134" w:right="-2"/>
        <w:jc w:val="both"/>
        <w:rPr>
          <w:sz w:val="28"/>
        </w:rPr>
      </w:pPr>
      <w:r>
        <w:rPr>
          <w:sz w:val="28"/>
        </w:rPr>
        <w:t xml:space="preserve">Основным источником доходов трудоспособного населения  является заработная плата. </w:t>
      </w:r>
    </w:p>
    <w:p w14:paraId="1B000000">
      <w:pPr>
        <w:ind w:firstLine="709" w:left="-1134" w:right="-2"/>
        <w:jc w:val="both"/>
        <w:rPr>
          <w:sz w:val="28"/>
        </w:rPr>
      </w:pPr>
      <w:r>
        <w:rPr>
          <w:sz w:val="28"/>
        </w:rPr>
        <w:t>Среднемесячная номинальная начисленная заработная плата работников крупных и средних предприятий, некоммерческих организаций составила в 20</w:t>
      </w:r>
      <w:r>
        <w:rPr>
          <w:sz w:val="28"/>
        </w:rPr>
        <w:t>25</w:t>
      </w:r>
      <w:r>
        <w:rPr>
          <w:sz w:val="28"/>
        </w:rPr>
        <w:t xml:space="preserve"> году</w:t>
      </w:r>
      <w:r>
        <w:rPr>
          <w:sz w:val="28"/>
        </w:rPr>
        <w:t xml:space="preserve"> </w:t>
      </w:r>
      <w:r>
        <w:rPr>
          <w:sz w:val="28"/>
        </w:rPr>
        <w:t xml:space="preserve"> 65</w:t>
      </w:r>
      <w:r>
        <w:rPr>
          <w:sz w:val="28"/>
        </w:rPr>
        <w:t xml:space="preserve"> 1</w:t>
      </w:r>
      <w:r>
        <w:rPr>
          <w:sz w:val="28"/>
        </w:rPr>
        <w:t>94</w:t>
      </w:r>
      <w:r>
        <w:rPr>
          <w:sz w:val="28"/>
        </w:rPr>
        <w:t xml:space="preserve"> руб</w:t>
      </w:r>
      <w:r>
        <w:rPr>
          <w:sz w:val="28"/>
        </w:rPr>
        <w:t>., 108</w:t>
      </w:r>
      <w:r>
        <w:rPr>
          <w:sz w:val="28"/>
        </w:rPr>
        <w:t>,8</w:t>
      </w:r>
      <w:r>
        <w:rPr>
          <w:sz w:val="28"/>
        </w:rPr>
        <w:t xml:space="preserve"> </w:t>
      </w:r>
      <w:r>
        <w:rPr>
          <w:sz w:val="28"/>
        </w:rPr>
        <w:t>%  к уровню 20</w:t>
      </w:r>
      <w:r>
        <w:rPr>
          <w:sz w:val="28"/>
        </w:rPr>
        <w:t>24</w:t>
      </w:r>
      <w:r>
        <w:rPr>
          <w:sz w:val="28"/>
        </w:rPr>
        <w:t xml:space="preserve"> года. </w:t>
      </w:r>
    </w:p>
    <w:p w14:paraId="1C000000">
      <w:pPr>
        <w:ind w:firstLine="709" w:left="-1134" w:right="-2"/>
        <w:jc w:val="both"/>
        <w:rPr>
          <w:sz w:val="28"/>
        </w:rPr>
      </w:pPr>
      <w:r>
        <w:rPr>
          <w:sz w:val="28"/>
        </w:rPr>
        <w:t xml:space="preserve">В    реестре    объектов    муниципального    имущества    </w:t>
      </w:r>
      <w:r>
        <w:rPr>
          <w:sz w:val="28"/>
        </w:rPr>
        <w:t xml:space="preserve">находится    492 </w:t>
      </w:r>
      <w:r>
        <w:rPr>
          <w:sz w:val="28"/>
        </w:rPr>
        <w:t>земельных</w:t>
      </w:r>
      <w:r>
        <w:rPr>
          <w:sz w:val="28"/>
        </w:rPr>
        <w:t xml:space="preserve"> участка</w:t>
      </w:r>
      <w:r>
        <w:rPr>
          <w:sz w:val="28"/>
        </w:rPr>
        <w:t>. На все земельные участки зарегистрировано право собственности.</w:t>
      </w:r>
    </w:p>
    <w:p w14:paraId="1D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Всего  в  реестре  объектов муниципальной собственности находится 258</w:t>
      </w:r>
      <w:r>
        <w:rPr>
          <w:sz w:val="28"/>
        </w:rPr>
        <w:t xml:space="preserve"> нежилых зданий и 907 сооружений</w:t>
      </w:r>
      <w:r>
        <w:rPr>
          <w:sz w:val="28"/>
        </w:rPr>
        <w:t>, включая автодороги.</w:t>
      </w:r>
      <w:r>
        <w:rPr>
          <w:sz w:val="28"/>
        </w:rPr>
        <w:t xml:space="preserve"> Право муниципальной собственности на сооружения и нежилые здания зарегистрировано в полном объеме.</w:t>
      </w:r>
    </w:p>
    <w:p w14:paraId="1E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Выполнение планового задания по доходам, полученным от использования (аренды) имущества и земельных ресурсов, находящихся в собственности округа</w:t>
      </w:r>
      <w:r>
        <w:rPr>
          <w:sz w:val="28"/>
        </w:rPr>
        <w:t>,</w:t>
      </w:r>
      <w:r>
        <w:rPr>
          <w:sz w:val="28"/>
        </w:rPr>
        <w:t xml:space="preserve"> составило 26,1 млн. рублей (</w:t>
      </w:r>
      <w:r>
        <w:rPr>
          <w:sz w:val="28"/>
        </w:rPr>
        <w:t>127,9 %</w:t>
      </w:r>
      <w:r>
        <w:rPr>
          <w:sz w:val="28"/>
        </w:rPr>
        <w:t xml:space="preserve"> по сравнению с прошлым годом).</w:t>
      </w:r>
    </w:p>
    <w:p w14:paraId="1F000000">
      <w:pPr>
        <w:ind w:firstLine="709" w:left="-1134" w:right="-2"/>
        <w:jc w:val="both"/>
        <w:rPr>
          <w:sz w:val="28"/>
        </w:rPr>
      </w:pPr>
      <w:r>
        <w:rPr>
          <w:sz w:val="28"/>
        </w:rPr>
        <w:t>Выполнение планового задания по доходам, полученным от продажи имущества, находящегося в собственности округа</w:t>
      </w:r>
      <w:r>
        <w:rPr>
          <w:sz w:val="28"/>
        </w:rPr>
        <w:t>,</w:t>
      </w:r>
      <w:r>
        <w:rPr>
          <w:sz w:val="28"/>
        </w:rPr>
        <w:t xml:space="preserve"> составило 1,1 млн. рублей.</w:t>
      </w:r>
    </w:p>
    <w:p w14:paraId="20000000">
      <w:pPr>
        <w:ind w:firstLine="709" w:left="-1134" w:right="-2"/>
        <w:jc w:val="both"/>
        <w:rPr>
          <w:sz w:val="28"/>
        </w:rPr>
      </w:pPr>
    </w:p>
    <w:p w14:paraId="21000000">
      <w:pPr>
        <w:ind w:firstLine="0" w:left="-1134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Дошкольное образование</w:t>
      </w:r>
    </w:p>
    <w:p w14:paraId="22000000">
      <w:pPr>
        <w:ind/>
        <w:jc w:val="center"/>
        <w:rPr>
          <w:rFonts w:ascii="Times New Roman" w:hAnsi="Times New Roman"/>
          <w:b w:val="1"/>
          <w:sz w:val="28"/>
        </w:rPr>
      </w:pPr>
    </w:p>
    <w:p w14:paraId="23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ab/>
      </w:r>
      <w:r>
        <w:rPr>
          <w:rFonts w:ascii="Times New Roman" w:hAnsi="Times New Roman"/>
          <w:b w:val="1"/>
          <w:sz w:val="28"/>
        </w:rPr>
        <w:t xml:space="preserve">   </w:t>
      </w:r>
      <w:r>
        <w:rPr>
          <w:rFonts w:ascii="Times New Roman" w:hAnsi="Times New Roman"/>
          <w:sz w:val="28"/>
        </w:rPr>
        <w:t>На территории Промышленновского муниципального округа работает 8 муниципальных дошкольных образовательных учреждений и 22 дошкольные группы при 13 школах округа.</w:t>
      </w:r>
    </w:p>
    <w:p w14:paraId="24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Численность детей в возрасте от 1 до 6 лет, получающих дошкольную образовательную услугу и (или) </w:t>
      </w:r>
      <w:r>
        <w:rPr>
          <w:rFonts w:ascii="Times New Roman" w:hAnsi="Times New Roman"/>
          <w:sz w:val="28"/>
        </w:rPr>
        <w:t>услугу по их содержанию в муниципальных дошкольных    образовательных    учреждений,   в    2025     году    составила   1 519 воспитанников</w:t>
      </w:r>
      <w:r>
        <w:rPr>
          <w:rFonts w:ascii="Times New Roman" w:hAnsi="Times New Roman"/>
          <w:sz w:val="28"/>
        </w:rPr>
        <w:t>, что составляет 84,9 % от общего количества детей данного возраста по округу.</w:t>
      </w:r>
    </w:p>
    <w:p w14:paraId="25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>В настоящее время актуальной очередности для детей дошкольного возраста в детские сады в округе нет. Все дошкольные учреждения округа принимают детей от года.</w:t>
      </w:r>
    </w:p>
    <w:p w14:paraId="26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В целях создания единых стартовых возможностей при поступлении в школу, для детей, не посещающих детские сады, работают группы </w:t>
      </w:r>
      <w:r>
        <w:rPr>
          <w:rFonts w:ascii="Times New Roman" w:hAnsi="Times New Roman"/>
          <w:sz w:val="28"/>
        </w:rPr>
        <w:t>предшкольной</w:t>
      </w:r>
      <w:r>
        <w:rPr>
          <w:rFonts w:ascii="Times New Roman" w:hAnsi="Times New Roman"/>
          <w:sz w:val="28"/>
        </w:rPr>
        <w:t xml:space="preserve"> подготовки: В УДО «Дом детского творчества», на базе МАКДОУ «Промышленновский детский «Сказка» оказываются платные услуги по изучен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английского языка, ритмопластики, изобразительной деятельности, коррекции речевых нарушений (занятия с логопедом), обучению плаванья.</w:t>
      </w:r>
    </w:p>
    <w:p w14:paraId="27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Особое внимание уделяется укреплению материально - технической базы дошкольных учреждений, созданию в организациях условий, соответствующих современным требованиям безопасности, антитеррористической защищенности и требованиям санитарно -эпидемиологическим нормам и правилам.</w:t>
      </w:r>
    </w:p>
    <w:p w14:paraId="28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Во всех дошкольных организациях округа имеются системы видеонаблюдения, пожарная сигнализация.</w:t>
      </w:r>
    </w:p>
    <w:p w14:paraId="29000000">
      <w:pPr>
        <w:ind w:firstLine="425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 счет бюджета округа в дошкольной группе МБОУ «Протопоповская ООШ» произвели монтаж противопожарных дверей. В МБДОУ «Озерский детский сад» отремонтировали систему вентиляции на пищеблоке. </w:t>
      </w:r>
    </w:p>
    <w:p w14:paraId="2A000000">
      <w:pPr>
        <w:ind w:firstLine="425" w:left="-1134"/>
        <w:jc w:val="both"/>
        <w:rPr>
          <w:rFonts w:ascii="Times New Roman" w:hAnsi="Times New Roman"/>
          <w:sz w:val="28"/>
        </w:rPr>
      </w:pPr>
    </w:p>
    <w:p w14:paraId="2B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                           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b w:val="1"/>
          <w:sz w:val="28"/>
        </w:rPr>
        <w:t>Общее и дополнительное образование</w:t>
      </w:r>
    </w:p>
    <w:p w14:paraId="2C000000">
      <w:pPr>
        <w:ind w:firstLine="0" w:left="-1134"/>
        <w:jc w:val="left"/>
        <w:rPr>
          <w:rFonts w:ascii="Times New Roman" w:hAnsi="Times New Roman"/>
          <w:b w:val="1"/>
          <w:sz w:val="28"/>
        </w:rPr>
      </w:pPr>
    </w:p>
    <w:p w14:paraId="2D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Общеобразовательные программы </w:t>
      </w:r>
      <w:r>
        <w:rPr>
          <w:rFonts w:ascii="Times New Roman" w:hAnsi="Times New Roman"/>
          <w:sz w:val="28"/>
        </w:rPr>
        <w:t xml:space="preserve">начального, основного и среднего общего образования в округе реализуют 16 школ. Две из них расположены в пгт. </w:t>
      </w:r>
      <w:r>
        <w:rPr>
          <w:rFonts w:ascii="Times New Roman" w:hAnsi="Times New Roman"/>
          <w:sz w:val="28"/>
        </w:rPr>
        <w:t>Промышленная</w:t>
      </w:r>
      <w:r>
        <w:rPr>
          <w:rFonts w:ascii="Times New Roman" w:hAnsi="Times New Roman"/>
          <w:sz w:val="28"/>
        </w:rPr>
        <w:t>, 14 – в сельских населенных пунктах. Общая численность обучающихся составляет 5 143 человека.</w:t>
      </w:r>
    </w:p>
    <w:p w14:paraId="2E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Проводимая диспансеризация школьников, мероприятия по привитию здорового образа жизни способствуют повышению доли детей первой и второй групп здоровья и составила 81,1 %.</w:t>
      </w:r>
    </w:p>
    <w:p w14:paraId="2F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Доля выпускников муниципальных общеобразовательных организаций, сдавших единый государственный экзамен по русскому языку и математике, к общей численности выпускников, сдававших  единый государственный экзамен по данным предметам, составила </w:t>
      </w:r>
      <w:r>
        <w:rPr>
          <w:rFonts w:ascii="Times New Roman" w:hAnsi="Times New Roman"/>
          <w:sz w:val="28"/>
        </w:rPr>
        <w:t>99,1 %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Один выпускник 2025 года не получил аттестат о среднем образовании. </w:t>
      </w:r>
    </w:p>
    <w:p w14:paraId="30000000">
      <w:pPr>
        <w:ind w:firstLine="0" w:left="-113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2025 году 15 в</w:t>
      </w:r>
      <w:r>
        <w:rPr>
          <w:rFonts w:ascii="Times New Roman" w:hAnsi="Times New Roman"/>
          <w:sz w:val="28"/>
        </w:rPr>
        <w:t xml:space="preserve">ыпускников награждены </w:t>
      </w:r>
      <w:r>
        <w:rPr>
          <w:rFonts w:ascii="Times New Roman" w:hAnsi="Times New Roman"/>
          <w:color w:val="000000"/>
          <w:sz w:val="28"/>
        </w:rPr>
        <w:t>Федеральной  медалью «За особые успехи в учении» и 11 выпускников награждены знаками «Отличник Кузбасса».</w:t>
      </w:r>
    </w:p>
    <w:p w14:paraId="31000000">
      <w:pPr>
        <w:ind w:firstLine="709" w:left="-113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Дополнительным образованием в округе охвачено 81,15 % детей в возрасте от 5 до 18 лет</w:t>
      </w:r>
      <w:r>
        <w:rPr>
          <w:rFonts w:ascii="Times New Roman" w:hAnsi="Times New Roman"/>
          <w:color w:val="000000"/>
          <w:sz w:val="28"/>
        </w:rPr>
        <w:t>, проживающих на территории Промышленновского муниципального округа (6 669 человек).</w:t>
      </w:r>
    </w:p>
    <w:p w14:paraId="32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Дополнительное образование реализуется по 6 направлениям: </w:t>
      </w:r>
      <w:r>
        <w:rPr>
          <w:rFonts w:ascii="Times New Roman" w:hAnsi="Times New Roman"/>
          <w:sz w:val="28"/>
        </w:rPr>
        <w:t>художественная</w:t>
      </w:r>
      <w:r>
        <w:rPr>
          <w:rFonts w:ascii="Times New Roman" w:hAnsi="Times New Roman"/>
          <w:sz w:val="28"/>
        </w:rPr>
        <w:t xml:space="preserve">, социально - гуманитарная, естественнонаучная, техническая, физкультурно - спортивная,  туристско - краеведческая. </w:t>
      </w:r>
    </w:p>
    <w:p w14:paraId="33000000">
      <w:pPr>
        <w:ind w:firstLine="709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2025 году в образовательных организациях действовали:</w:t>
      </w:r>
    </w:p>
    <w:p w14:paraId="34000000">
      <w:pPr>
        <w:ind w:firstLine="709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 школьных театров;</w:t>
      </w:r>
    </w:p>
    <w:p w14:paraId="35000000">
      <w:pPr>
        <w:ind w:firstLine="709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 школьных музеев разных форматов организации работы (школьный музей, музейная комната, музейный уголок);</w:t>
      </w:r>
    </w:p>
    <w:p w14:paraId="36000000">
      <w:pPr>
        <w:ind w:firstLine="567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16 школьных медиацентров;</w:t>
      </w:r>
    </w:p>
    <w:p w14:paraId="37000000">
      <w:pPr>
        <w:ind w:firstLine="567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16 отрядов ЮИД;</w:t>
      </w:r>
    </w:p>
    <w:p w14:paraId="38000000">
      <w:pPr>
        <w:ind w:firstLine="567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16 школьных спортивных клубов;</w:t>
      </w:r>
    </w:p>
    <w:p w14:paraId="39000000">
      <w:pPr>
        <w:ind w:firstLine="709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 школьных хора, школьный академический хор «Нотки» МБОУ «Промышленновская средняя общеобразовательная школа № 56» внесен а Всероссийский реестр Школьных хоров;</w:t>
      </w:r>
    </w:p>
    <w:p w14:paraId="3A000000">
      <w:pPr>
        <w:ind w:firstLine="709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школьное лесничество «Лесные Робинзоны» на базе УДОД «Дом детского творчества».</w:t>
      </w:r>
    </w:p>
    <w:p w14:paraId="3B000000">
      <w:pPr>
        <w:ind w:firstLine="709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2025 году закончили капитальный ремонт детско-юношеской спортивной школы в п. Плотниково и строительство физкультурно-оздоровительного комплекса МБОУ «Заринская СОШ им. М.А. Аверина».</w:t>
      </w:r>
    </w:p>
    <w:p w14:paraId="3C000000">
      <w:pPr>
        <w:ind w:firstLine="709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подгоовку образовательных учреждений к новому учебному году выделено около 2,5 млн. рублей.</w:t>
      </w:r>
    </w:p>
    <w:p w14:paraId="3D000000">
      <w:pPr>
        <w:ind w:firstLine="0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</w:p>
    <w:p w14:paraId="3E000000">
      <w:pPr>
        <w:ind w:firstLine="0" w:left="-1134" w:right="-2"/>
        <w:jc w:val="center"/>
        <w:rPr>
          <w:b w:val="1"/>
          <w:sz w:val="28"/>
        </w:rPr>
      </w:pPr>
      <w:r>
        <w:rPr>
          <w:b w:val="1"/>
          <w:sz w:val="28"/>
        </w:rPr>
        <w:t xml:space="preserve">Культура </w:t>
      </w:r>
    </w:p>
    <w:p w14:paraId="3F000000">
      <w:pPr>
        <w:ind w:firstLine="708" w:left="-1134"/>
        <w:jc w:val="both"/>
        <w:rPr>
          <w:sz w:val="28"/>
        </w:rPr>
      </w:pPr>
    </w:p>
    <w:p w14:paraId="40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Услуги в сфере культуры оказываются населению в 76 сетевых единицах: в учреждении дополнительного образования (детская школа искусств им. В.И. Косолапова, где обучается 307 детей), 33 библиотеках, 41 клубном учреждении, Промышленновском районном </w:t>
      </w:r>
      <w:r>
        <w:rPr>
          <w:sz w:val="28"/>
        </w:rPr>
        <w:t>И</w:t>
      </w:r>
      <w:r>
        <w:rPr>
          <w:sz w:val="28"/>
        </w:rPr>
        <w:t xml:space="preserve">сторико -краеведческом музее. </w:t>
      </w:r>
    </w:p>
    <w:p w14:paraId="41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В 478 клубных формированиях занимаются 5611 человек, в том числе 70% — дети и молодежь.</w:t>
      </w:r>
    </w:p>
    <w:p w14:paraId="42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В 2025 году коллективы, творческие студии, солисты приняли участие в 124 фестивалях и конкурсах областного, всероссийского, межрегионального и международного уровней, завоевали 134 победы. </w:t>
      </w:r>
    </w:p>
    <w:p w14:paraId="43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 В течение года прошли фестивали и конкурсы муниципального значения: «Россия начинается с тебя», «Театральная весна», «Весенняя капель», «Вселенная», «Веселые нотки», «</w:t>
      </w:r>
      <w:r>
        <w:rPr>
          <w:sz w:val="28"/>
        </w:rPr>
        <w:t>Камыслинские</w:t>
      </w:r>
      <w:r>
        <w:rPr>
          <w:sz w:val="28"/>
        </w:rPr>
        <w:t xml:space="preserve"> </w:t>
      </w:r>
      <w:r>
        <w:rPr>
          <w:sz w:val="28"/>
        </w:rPr>
        <w:t>веселинки</w:t>
      </w:r>
      <w:r>
        <w:rPr>
          <w:sz w:val="28"/>
        </w:rPr>
        <w:t>», «Старый дворик», «Июльские звезды», «</w:t>
      </w:r>
      <w:r>
        <w:rPr>
          <w:sz w:val="28"/>
        </w:rPr>
        <w:t>ЛАДная</w:t>
      </w:r>
      <w:r>
        <w:rPr>
          <w:sz w:val="28"/>
        </w:rPr>
        <w:t xml:space="preserve"> станица», «Хлебное дело», «Радужная карусель», «КВН – 2025», «Я любимый сын у мамы». </w:t>
      </w:r>
    </w:p>
    <w:p w14:paraId="44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В 2025 году учреждения культуры приняли участие во всероссийских, региональных акциях: «Весенняя неделя добра», «Георгиевская ленточка», «Свеча памяти», «1418 добрых дел навстречу Великой Победе», «Окна Победы», «Фронтовая бригада», «Бессмертный полк», «Ночь искусств», «</w:t>
      </w:r>
      <w:r>
        <w:rPr>
          <w:sz w:val="28"/>
        </w:rPr>
        <w:t>Библионочь</w:t>
      </w:r>
      <w:r>
        <w:rPr>
          <w:sz w:val="28"/>
        </w:rPr>
        <w:t xml:space="preserve">», «Ночь в музее»; в добровольческих акциях: «Весенняя неделя добра», «Осторожно гололед», «Рождество для всех и каждого»; провели экологическую акцию «Елочный круговорот». </w:t>
      </w:r>
    </w:p>
    <w:p w14:paraId="45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В сети Интернет еженедельно выпускается информационная программа «Новости культуры», где сотрудники районного Дворца культуры освещают мероприятия культурной жизни округа, участие творческих коллективов и отдельных исполнителей в фестивалях и конкурсах, участие спортсменов в соревнованиях, а также анонсируют фильмы, мультфильмы в кинозалах районного Дворца культуры, Заринского городского Дома культуры и </w:t>
      </w:r>
      <w:r>
        <w:rPr>
          <w:sz w:val="28"/>
        </w:rPr>
        <w:t>Падунского</w:t>
      </w:r>
      <w:r>
        <w:rPr>
          <w:sz w:val="28"/>
        </w:rPr>
        <w:t xml:space="preserve"> сельского Дома культуры. </w:t>
      </w:r>
    </w:p>
    <w:p w14:paraId="46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В сентябре 2025 года </w:t>
      </w:r>
      <w:r>
        <w:rPr>
          <w:sz w:val="28"/>
        </w:rPr>
        <w:t>в рамках федерального проекта «Семейные ценности и инфраструктура культуры» национального проекта «Семья»</w:t>
      </w:r>
      <w:r>
        <w:rPr>
          <w:sz w:val="28"/>
        </w:rPr>
        <w:t xml:space="preserve"> была открыта Центральная детская модельная библиотека им. П.А. Мазикина.</w:t>
      </w:r>
    </w:p>
    <w:p w14:paraId="47000000">
      <w:pPr>
        <w:spacing w:after="0" w:line="240" w:lineRule="auto"/>
        <w:ind w:firstLine="709" w:left="-1134"/>
        <w:jc w:val="both"/>
        <w:rPr>
          <w:rFonts w:ascii="Times New Roman" w:hAnsi="Times New Roman"/>
          <w:sz w:val="28"/>
        </w:rPr>
      </w:pPr>
      <w:r>
        <w:rPr>
          <w:sz w:val="28"/>
        </w:rPr>
        <w:t xml:space="preserve">В ноябре 2025 года специалистами учреждений культуры был создан новогодний проект «Карнавал сибирской росписи». В рамках проекта прошли муниципальные конкурсы «Парад новогодних костюмов», «В сиянии новогодних шаров». </w:t>
      </w:r>
    </w:p>
    <w:p w14:paraId="48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Ежегодно на базе культурно - досуговых учреждений Промышленновского муниципального округа проводятся региональные фестивали и конкурсы. </w:t>
      </w:r>
    </w:p>
    <w:p w14:paraId="49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22 марта 2025 года в Центре казачьей культуры «ЛАД» прошел региональный детский фестиваль - конкурс казачьей культуры «Сороки». </w:t>
      </w:r>
    </w:p>
    <w:p w14:paraId="4A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29 ноября 2025 года на сцене районного Дворца культуры состоялся гала - концерт регионального детско - юношеского фестиваля - конкурса исполнителей эстрадной песни «Овация». Также были организованы муниципальные этапы </w:t>
      </w:r>
      <w:r>
        <w:rPr>
          <w:sz w:val="28"/>
        </w:rPr>
        <w:t>Всекузбасского</w:t>
      </w:r>
      <w:r>
        <w:rPr>
          <w:sz w:val="28"/>
        </w:rPr>
        <w:t xml:space="preserve"> фестиваля - конкурса «Виктория. Песни Победы», межрегионального фестиваля - конкурса гармонистов «Фронтовая гармонь», областного конкурса детских рисунков и видеороликов «Яркий мир Кузбасса».</w:t>
      </w:r>
    </w:p>
    <w:p w14:paraId="4B000000">
      <w:pPr>
        <w:spacing w:after="0" w:before="0" w:line="240" w:lineRule="auto"/>
        <w:ind w:firstLine="0" w:left="-1134"/>
        <w:rPr>
          <w:b w:val="1"/>
          <w:sz w:val="28"/>
        </w:rPr>
      </w:pPr>
    </w:p>
    <w:p w14:paraId="4C000000">
      <w:pPr>
        <w:spacing w:after="0" w:before="0" w:line="240" w:lineRule="auto"/>
        <w:ind w:firstLine="0" w:left="-1134"/>
        <w:jc w:val="center"/>
        <w:rPr>
          <w:b w:val="1"/>
          <w:sz w:val="28"/>
        </w:rPr>
      </w:pPr>
      <w:r>
        <w:rPr>
          <w:b w:val="1"/>
          <w:sz w:val="28"/>
        </w:rPr>
        <w:t>Физическая культура и спорт</w:t>
      </w:r>
    </w:p>
    <w:p w14:paraId="4D000000">
      <w:pPr>
        <w:spacing w:after="0" w:line="240" w:lineRule="auto"/>
        <w:ind w:firstLine="0" w:left="-1134"/>
        <w:jc w:val="both"/>
        <w:rPr>
          <w:rFonts w:ascii="Times New Roman" w:hAnsi="Times New Roman"/>
          <w:sz w:val="32"/>
        </w:rPr>
      </w:pPr>
    </w:p>
    <w:p w14:paraId="4E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В Промышленновском муниципальном округе физической культурой и спортом регулярно занимаются 30 160 человек, что составляет 70,2% от общей численности населения округа в возрасте от 3 до 79 лет.</w:t>
      </w:r>
    </w:p>
    <w:p w14:paraId="4F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Привлечению населения к систематическим занятиям спортом способствует увеличение числа участников различных спортивных секций и клубов по интересам в сфере физкультурно - оздоровительной работы.</w:t>
      </w:r>
    </w:p>
    <w:p w14:paraId="50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В Промышленновском муниципальном округе функционирует 111 спортивных объектов, в том числе: 33 спортивных зала, 1 тир, 1 стадион, 4 лыжные трассы, 52 спортивные площадки, 5 сезонных катков, 13 помещений спортивного назначения, 1 бассейн, 1 горнолыжный комплекс.</w:t>
      </w:r>
    </w:p>
    <w:p w14:paraId="51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С целью организации досуга жителей Промышленновского муниципального округа и увеличения доли населения, систематически занимающегося физической культурой и спортом, ежегодно ведут свою работу пункты проката спортивного инвентаря (коньки, лыжное снаряжение) в пгт. Промышленная и п. Плотниково.</w:t>
      </w:r>
    </w:p>
    <w:p w14:paraId="52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В 2025 году 910 человек выполнили нормативы комплекса ГТО на знак отличия, из них на золотой знак отличия — 825 человек, на серебряный знак отличия - 62 человека, на бронзовый знак отличия — 23 человека.</w:t>
      </w:r>
    </w:p>
    <w:p w14:paraId="53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В с. Краснинское и в пгт. Промышленная установлены современные площадки для подготовки и выполнения нормативов Всероссийского физкультурно - спортивного комплекса «Готов к труду и обороне» (ГТО).</w:t>
      </w:r>
    </w:p>
    <w:p w14:paraId="54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Уровень обеспеченности населения спортивными сооружениями, исходя из единовременной пропускной способности объектов спорта, составляет 72,3%.</w:t>
      </w:r>
    </w:p>
    <w:p w14:paraId="55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В 2025 году проведено 129 физкультурно - спортивных мероприятий, включая приемы нормативов комплекса ГТО, с общим охватом 8505 человек.</w:t>
      </w:r>
    </w:p>
    <w:p w14:paraId="56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 xml:space="preserve">В МБУ ДО «Промышленновская спортивная школа» занимаются 352 человека в 6 отделениях по видам спорта: спортивная борьба (отделения греко-римской и вольной борьбы), лыжные гонки, волейбол, футбол, бокс, </w:t>
      </w:r>
      <w:r>
        <w:rPr>
          <w:sz w:val="28"/>
        </w:rPr>
        <w:t>киокусинкай</w:t>
      </w:r>
      <w:r>
        <w:rPr>
          <w:sz w:val="28"/>
        </w:rPr>
        <w:t>.</w:t>
      </w:r>
    </w:p>
    <w:p w14:paraId="57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В 2025 году спортсмены Промышленновского муниципального округа приняли участие в более чем 90 соревнованиях регионального и всероссийского уровня, на которых 48 раз становились третьими, 39 раз – вторыми и 47 раз одерживали победу.</w:t>
      </w:r>
    </w:p>
    <w:p w14:paraId="58000000">
      <w:pPr>
        <w:spacing w:after="0" w:before="0" w:line="240" w:lineRule="auto"/>
        <w:ind w:firstLine="709" w:left="-1134"/>
        <w:jc w:val="both"/>
        <w:rPr>
          <w:sz w:val="28"/>
        </w:rPr>
      </w:pPr>
      <w:r>
        <w:rPr>
          <w:sz w:val="28"/>
        </w:rPr>
        <w:t>Традиционными остаются соревнования по спортивной борьбе, боксу и гиревому спорту, на которые съезжаются лучшие представители этих видов спорта из Кузбасса и соседних регионов.</w:t>
      </w:r>
    </w:p>
    <w:p w14:paraId="59000000">
      <w:pPr>
        <w:spacing w:after="0" w:before="0" w:line="240" w:lineRule="auto"/>
        <w:ind w:firstLine="0" w:left="-1134"/>
        <w:jc w:val="center"/>
        <w:rPr>
          <w:b w:val="1"/>
          <w:sz w:val="28"/>
        </w:rPr>
      </w:pPr>
    </w:p>
    <w:p w14:paraId="5A000000">
      <w:pPr>
        <w:spacing w:after="0" w:before="0" w:line="240" w:lineRule="auto"/>
        <w:ind w:firstLine="0" w:left="-1134"/>
        <w:jc w:val="center"/>
        <w:rPr>
          <w:b w:val="1"/>
          <w:sz w:val="28"/>
        </w:rPr>
      </w:pPr>
      <w:r>
        <w:rPr>
          <w:b w:val="1"/>
          <w:sz w:val="28"/>
        </w:rPr>
        <w:t>Сфера туризма</w:t>
      </w:r>
    </w:p>
    <w:p w14:paraId="5B000000">
      <w:pPr>
        <w:spacing w:after="0" w:before="0" w:line="240" w:lineRule="auto"/>
        <w:ind w:firstLine="0" w:left="-1134"/>
        <w:jc w:val="center"/>
        <w:rPr>
          <w:b w:val="1"/>
          <w:sz w:val="10"/>
        </w:rPr>
      </w:pPr>
    </w:p>
    <w:p w14:paraId="5C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Промышленновский округ располагает богатейшим историко -культурным наследием. Удобное экономико - географическое положение в сочетании с природными ресурсами определяет уникальность наших мест, своеобразие культурных и исторических традиций.</w:t>
      </w:r>
    </w:p>
    <w:p w14:paraId="5D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Мы активно работаем над созданием благоприятных условий для повышения инвестиционной привлекательности туристической отрасли Промышленновского округа, обеспечением законных интересов и безопасности потребителей туристических услуг.</w:t>
      </w:r>
    </w:p>
    <w:p w14:paraId="5E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Количество туристов, воспользовавшихся туристическими услугами на территории Промышленновского округа, в 202</w:t>
      </w:r>
      <w:r>
        <w:rPr>
          <w:rFonts w:ascii="Times New Roman" w:hAnsi="Times New Roman"/>
          <w:color w:val="000000"/>
          <w:sz w:val="28"/>
          <w:highlight w:val="white"/>
        </w:rPr>
        <w:t>5</w:t>
      </w:r>
      <w:r>
        <w:rPr>
          <w:rFonts w:ascii="Times New Roman" w:hAnsi="Times New Roman"/>
          <w:color w:val="000000"/>
          <w:sz w:val="28"/>
          <w:highlight w:val="white"/>
        </w:rPr>
        <w:t xml:space="preserve"> году составило 1</w:t>
      </w:r>
      <w:r>
        <w:rPr>
          <w:rFonts w:ascii="Times New Roman" w:hAnsi="Times New Roman"/>
          <w:color w:val="000000"/>
          <w:sz w:val="28"/>
          <w:highlight w:val="white"/>
        </w:rPr>
        <w:t>70</w:t>
      </w:r>
      <w:r>
        <w:rPr>
          <w:rFonts w:ascii="Times New Roman" w:hAnsi="Times New Roman"/>
          <w:color w:val="000000"/>
          <w:sz w:val="28"/>
          <w:highlight w:val="white"/>
        </w:rPr>
        <w:t>,</w:t>
      </w:r>
      <w:r>
        <w:rPr>
          <w:rFonts w:ascii="Times New Roman" w:hAnsi="Times New Roman"/>
          <w:color w:val="000000"/>
          <w:sz w:val="28"/>
          <w:highlight w:val="white"/>
        </w:rPr>
        <w:t>2</w:t>
      </w:r>
      <w:r>
        <w:rPr>
          <w:rFonts w:ascii="Times New Roman" w:hAnsi="Times New Roman"/>
          <w:color w:val="000000"/>
          <w:sz w:val="28"/>
          <w:highlight w:val="white"/>
        </w:rPr>
        <w:t xml:space="preserve"> тыс. человек.</w:t>
      </w:r>
    </w:p>
    <w:p w14:paraId="5F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Оздоровительный комплекс «</w:t>
      </w:r>
      <w:r>
        <w:rPr>
          <w:rFonts w:ascii="Times New Roman" w:hAnsi="Times New Roman"/>
          <w:color w:val="000000"/>
          <w:sz w:val="28"/>
          <w:highlight w:val="white"/>
        </w:rPr>
        <w:t>Танай</w:t>
      </w:r>
      <w:r>
        <w:rPr>
          <w:rFonts w:ascii="Times New Roman" w:hAnsi="Times New Roman"/>
          <w:color w:val="000000"/>
          <w:sz w:val="28"/>
          <w:highlight w:val="white"/>
        </w:rPr>
        <w:t xml:space="preserve">» </w:t>
      </w:r>
      <w:r>
        <w:rPr>
          <w:rFonts w:ascii="Times New Roman" w:hAnsi="Times New Roman"/>
          <w:color w:val="000000"/>
          <w:sz w:val="28"/>
          <w:highlight w:val="white"/>
        </w:rPr>
        <w:t xml:space="preserve">- </w:t>
      </w:r>
      <w:r>
        <w:rPr>
          <w:rFonts w:ascii="Times New Roman" w:hAnsi="Times New Roman"/>
          <w:color w:val="000000"/>
          <w:sz w:val="28"/>
          <w:highlight w:val="white"/>
        </w:rPr>
        <w:t>это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удивительное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место</w:t>
      </w:r>
      <w:r>
        <w:rPr>
          <w:rFonts w:ascii="Times New Roman" w:hAnsi="Times New Roman"/>
          <w:color w:val="000000"/>
          <w:sz w:val="28"/>
          <w:highlight w:val="white"/>
        </w:rPr>
        <w:t>,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красивый курорт, который порадует любого приезжего, вне зависимости от типа отдыха. Его удобное месторасположение: 120 километров от Кемерова, 130 от Новосибирска и 350 от Томска привлекают сюда огромное количество отдыхающих. В окружении хвойных лесов у подножья горы Слизун Салаирского кряжа, гостям «</w:t>
      </w:r>
      <w:r>
        <w:rPr>
          <w:rFonts w:ascii="Times New Roman" w:hAnsi="Times New Roman"/>
          <w:color w:val="000000"/>
          <w:sz w:val="28"/>
          <w:highlight w:val="white"/>
        </w:rPr>
        <w:t>Таная</w:t>
      </w:r>
      <w:r>
        <w:rPr>
          <w:rFonts w:ascii="Times New Roman" w:hAnsi="Times New Roman"/>
          <w:color w:val="000000"/>
          <w:sz w:val="28"/>
          <w:highlight w:val="white"/>
        </w:rPr>
        <w:t xml:space="preserve">» предоставляется уникальная возможность поправить здоровье в санатории. Испытать площадки для пейнтбола и волейбола, </w:t>
      </w:r>
      <w:r>
        <w:rPr>
          <w:rFonts w:ascii="Times New Roman" w:hAnsi="Times New Roman"/>
          <w:color w:val="000000"/>
          <w:sz w:val="28"/>
          <w:highlight w:val="white"/>
        </w:rPr>
        <w:t>ролледром</w:t>
      </w:r>
      <w:r>
        <w:rPr>
          <w:rFonts w:ascii="Times New Roman" w:hAnsi="Times New Roman"/>
          <w:color w:val="000000"/>
          <w:sz w:val="28"/>
          <w:highlight w:val="white"/>
        </w:rPr>
        <w:t xml:space="preserve"> и бильярдный зал. Прогуляться по парку дикой природы. Весело отдохнуть с друзьями в караоке, кафе или баре, расслабиться в купели Святого Архистратига Божия Михаила или помочь своему организму восстановиться в СПА - центре. </w:t>
      </w:r>
      <w:r>
        <w:rPr>
          <w:rFonts w:ascii="Times New Roman" w:hAnsi="Times New Roman"/>
          <w:color w:val="000000"/>
          <w:sz w:val="28"/>
          <w:highlight w:val="white"/>
        </w:rPr>
        <w:t>Зимнее богатство «</w:t>
      </w:r>
      <w:r>
        <w:rPr>
          <w:rFonts w:ascii="Times New Roman" w:hAnsi="Times New Roman"/>
          <w:color w:val="000000"/>
          <w:sz w:val="28"/>
          <w:highlight w:val="white"/>
        </w:rPr>
        <w:t>Таная</w:t>
      </w:r>
      <w:r>
        <w:rPr>
          <w:rFonts w:ascii="Times New Roman" w:hAnsi="Times New Roman"/>
          <w:color w:val="000000"/>
          <w:sz w:val="28"/>
          <w:highlight w:val="white"/>
        </w:rPr>
        <w:t xml:space="preserve">» — это развитая инфраструктура для любителей горных лыж и активного отдыха, предназначенная как для семейного отдыха, так и молодежи. </w:t>
      </w:r>
      <w:r>
        <w:rPr>
          <w:rFonts w:ascii="Times New Roman" w:hAnsi="Times New Roman"/>
          <w:color w:val="000000"/>
          <w:sz w:val="28"/>
          <w:highlight w:val="white"/>
        </w:rPr>
        <w:t>К</w:t>
      </w:r>
      <w:r>
        <w:rPr>
          <w:rFonts w:ascii="Times New Roman" w:hAnsi="Times New Roman"/>
          <w:color w:val="000000"/>
          <w:sz w:val="28"/>
          <w:highlight w:val="white"/>
        </w:rPr>
        <w:t xml:space="preserve">урорт идеально подходит для круглогодичного отдыха. </w:t>
      </w:r>
    </w:p>
    <w:p w14:paraId="60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b w:val="0"/>
          <w:color w:val="000000"/>
          <w:sz w:val="28"/>
          <w:highlight w:val="white"/>
        </w:rPr>
        <w:t xml:space="preserve">«Аэродром 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>Танай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>»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> -</w:t>
      </w:r>
      <w:r>
        <w:rPr>
          <w:rFonts w:ascii="Times New Roman" w:hAnsi="Times New Roman"/>
          <w:color w:val="000000"/>
          <w:sz w:val="28"/>
          <w:highlight w:val="white"/>
        </w:rPr>
        <w:t xml:space="preserve"> уютный гостиничный комплекс, расположенный в одном из красивейших мест Сибирской природы. </w:t>
      </w:r>
    </w:p>
    <w:p w14:paraId="61000000">
      <w:pPr>
        <w:spacing w:after="0" w:line="240" w:lineRule="auto"/>
        <w:ind w:firstLine="709" w:left="-1134"/>
        <w:jc w:val="both"/>
      </w:pPr>
      <w:r>
        <w:rPr>
          <w:rFonts w:ascii="Times New Roman" w:hAnsi="Times New Roman"/>
          <w:color w:val="000000"/>
          <w:sz w:val="28"/>
          <w:highlight w:val="white"/>
        </w:rPr>
        <w:t>Экстрим - парк 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 xml:space="preserve">«Аэродром 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>Танай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>»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> р</w:t>
      </w:r>
      <w:r>
        <w:rPr>
          <w:rFonts w:ascii="Times New Roman" w:hAnsi="Times New Roman"/>
          <w:color w:val="000000"/>
          <w:sz w:val="28"/>
          <w:highlight w:val="white"/>
        </w:rPr>
        <w:t xml:space="preserve">асположен в заповедной зоне и климатическом курорте предгорья Салаирского кряжа. Чистый воздух, удивительная красота гор и Сибирской природы гармонично сочетаются с развитой инфраструктурой комплекса и уютным гостиничным комплексом. В 5 км от экстрим - парка расположено красивое озеро </w:t>
      </w:r>
      <w:r>
        <w:rPr>
          <w:rFonts w:ascii="Times New Roman" w:hAnsi="Times New Roman"/>
          <w:color w:val="000000"/>
          <w:sz w:val="28"/>
          <w:highlight w:val="white"/>
        </w:rPr>
        <w:t>Танай</w:t>
      </w:r>
      <w:r>
        <w:rPr>
          <w:rFonts w:ascii="Times New Roman" w:hAnsi="Times New Roman"/>
          <w:color w:val="000000"/>
          <w:sz w:val="28"/>
          <w:highlight w:val="white"/>
        </w:rPr>
        <w:t>.</w:t>
      </w:r>
      <w:r>
        <w:t xml:space="preserve"> </w:t>
      </w:r>
    </w:p>
    <w:p w14:paraId="62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yellow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2025 год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на территории Аэродрома </w:t>
      </w:r>
      <w:r>
        <w:rPr>
          <w:rFonts w:ascii="Times New Roman" w:hAnsi="Times New Roman"/>
          <w:sz w:val="28"/>
        </w:rPr>
        <w:t>Танай</w:t>
      </w:r>
      <w:r>
        <w:rPr>
          <w:rFonts w:ascii="Times New Roman" w:hAnsi="Times New Roman"/>
          <w:sz w:val="28"/>
        </w:rPr>
        <w:t xml:space="preserve"> прошли такие</w:t>
      </w:r>
      <w:r>
        <w:rPr>
          <w:rFonts w:ascii="Times New Roman" w:hAnsi="Times New Roman"/>
          <w:sz w:val="28"/>
        </w:rPr>
        <w:t xml:space="preserve"> ежегодные</w:t>
      </w:r>
      <w:r>
        <w:rPr>
          <w:rFonts w:ascii="Times New Roman" w:hAnsi="Times New Roman"/>
          <w:sz w:val="28"/>
        </w:rPr>
        <w:t xml:space="preserve"> крупные мероприятия, ка</w:t>
      </w:r>
      <w:r>
        <w:rPr>
          <w:rFonts w:ascii="Times New Roman" w:hAnsi="Times New Roman"/>
          <w:sz w:val="28"/>
        </w:rPr>
        <w:t>к</w:t>
      </w:r>
      <w: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Кубок России (купольное пилотирование),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Чемпионат России (точность приземления, скоростное падение, вингсьют - пилотирование</w:t>
      </w:r>
      <w:r>
        <w:rPr>
          <w:rFonts w:ascii="Times New Roman" w:hAnsi="Times New Roman"/>
          <w:color w:val="000000"/>
          <w:sz w:val="28"/>
          <w:highlight w:val="white"/>
        </w:rPr>
        <w:t>)</w:t>
      </w:r>
      <w:r>
        <w:rPr>
          <w:rFonts w:ascii="Times New Roman" w:hAnsi="Times New Roman"/>
          <w:color w:val="000000"/>
          <w:sz w:val="28"/>
          <w:highlight w:val="white"/>
        </w:rPr>
        <w:t xml:space="preserve">, </w:t>
      </w:r>
      <w:r>
        <w:rPr>
          <w:rFonts w:ascii="Times New Roman" w:hAnsi="Times New Roman"/>
          <w:color w:val="000000"/>
          <w:sz w:val="28"/>
          <w:highlight w:val="white"/>
        </w:rPr>
        <w:t>Чемпионат России (купольное пилотирование</w:t>
      </w:r>
      <w:r>
        <w:rPr>
          <w:rFonts w:ascii="Times New Roman" w:hAnsi="Times New Roman"/>
          <w:color w:val="000000"/>
          <w:sz w:val="28"/>
          <w:highlight w:val="white"/>
        </w:rPr>
        <w:t>)</w:t>
      </w:r>
      <w:r>
        <w:rPr>
          <w:rFonts w:ascii="Times New Roman" w:hAnsi="Times New Roman"/>
          <w:color w:val="000000"/>
          <w:sz w:val="28"/>
          <w:highlight w:val="white"/>
        </w:rPr>
        <w:t xml:space="preserve">. </w:t>
      </w:r>
    </w:p>
    <w:p w14:paraId="63000000">
      <w:pPr>
        <w:spacing w:after="0" w:line="240" w:lineRule="auto"/>
        <w:ind w:firstLine="709" w:left="-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Еще одним местом притяжения туристов на территории Промышленновского муниципального округа является </w:t>
      </w:r>
      <w:r>
        <w:rPr>
          <w:rFonts w:ascii="Times New Roman" w:hAnsi="Times New Roman"/>
          <w:sz w:val="28"/>
        </w:rPr>
        <w:t>аграрно -туристический комплекс «Усадьба Лобановых». Это место</w:t>
      </w:r>
      <w:r>
        <w:rPr>
          <w:rFonts w:ascii="Times New Roman" w:hAnsi="Times New Roman"/>
          <w:color w:val="000000"/>
          <w:sz w:val="28"/>
          <w:highlight w:val="white"/>
        </w:rPr>
        <w:t>, куда приезжают за вкусом, эмоциями и настоящей деревенской атмосферой.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 xml:space="preserve">Это </w:t>
      </w:r>
      <w:r>
        <w:rPr>
          <w:rFonts w:ascii="Times New Roman" w:hAnsi="Times New Roman"/>
          <w:color w:val="000000"/>
          <w:sz w:val="28"/>
          <w:highlight w:val="white"/>
        </w:rPr>
        <w:t xml:space="preserve">уникальный </w:t>
      </w:r>
      <w:r>
        <w:rPr>
          <w:rFonts w:ascii="Times New Roman" w:hAnsi="Times New Roman"/>
          <w:color w:val="000000"/>
          <w:sz w:val="28"/>
          <w:highlight w:val="white"/>
        </w:rPr>
        <w:t>семейный аграрно - туристический комплекс в Кемеровской области.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Здесь пахнет сеном, теплым молоком, только что сваренным сыром и деревней.</w:t>
      </w:r>
    </w:p>
    <w:p w14:paraId="64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С запуском сыроварни </w:t>
      </w:r>
      <w:r>
        <w:rPr>
          <w:rFonts w:ascii="Times New Roman" w:hAnsi="Times New Roman"/>
          <w:color w:val="000000"/>
          <w:sz w:val="28"/>
          <w:highlight w:val="white"/>
        </w:rPr>
        <w:t xml:space="preserve">в 2019 году </w:t>
      </w:r>
      <w:r>
        <w:rPr>
          <w:rFonts w:ascii="Times New Roman" w:hAnsi="Times New Roman"/>
          <w:color w:val="000000"/>
          <w:sz w:val="28"/>
          <w:highlight w:val="white"/>
        </w:rPr>
        <w:t xml:space="preserve">пришло ещё одно направление -агротуризм. </w:t>
      </w:r>
      <w:r>
        <w:rPr>
          <w:rFonts w:ascii="Times New Roman" w:hAnsi="Times New Roman"/>
          <w:color w:val="000000"/>
          <w:sz w:val="28"/>
          <w:highlight w:val="white"/>
        </w:rPr>
        <w:t>Теперь в</w:t>
      </w:r>
      <w:r>
        <w:rPr>
          <w:rFonts w:ascii="Times New Roman" w:hAnsi="Times New Roman"/>
          <w:color w:val="000000"/>
          <w:sz w:val="28"/>
          <w:highlight w:val="white"/>
        </w:rPr>
        <w:t>се приехавшие могут окунуться в атмосферу современной русской деревни и почувствовать себя не просто гостями,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 xml:space="preserve">а конкретными участниками многих производственных процессов. </w:t>
      </w:r>
    </w:p>
    <w:p w14:paraId="65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Здесь проводят праздники, фестивали, корпоративные мероприятия</w:t>
      </w:r>
      <w:r>
        <w:rPr>
          <w:rFonts w:ascii="Times New Roman" w:hAnsi="Times New Roman"/>
          <w:color w:val="000000"/>
          <w:sz w:val="28"/>
          <w:highlight w:val="white"/>
        </w:rPr>
        <w:t xml:space="preserve">.        </w:t>
      </w:r>
      <w:r>
        <w:rPr>
          <w:rFonts w:ascii="Times New Roman" w:hAnsi="Times New Roman"/>
          <w:color w:val="000000"/>
          <w:sz w:val="28"/>
          <w:highlight w:val="white"/>
        </w:rPr>
        <w:t>И каждый гость уезжает с чувством тепла, вдохновения и вкуса настоящей деревни.</w:t>
      </w:r>
    </w:p>
    <w:p w14:paraId="66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В рамках развития культурно - познавательного туризма в 2025 году сотрудниками Промышленновского районного </w:t>
      </w:r>
      <w:r>
        <w:rPr>
          <w:rFonts w:ascii="Times New Roman" w:hAnsi="Times New Roman"/>
          <w:color w:val="000000"/>
          <w:sz w:val="28"/>
          <w:highlight w:val="white"/>
        </w:rPr>
        <w:t>И</w:t>
      </w:r>
      <w:r>
        <w:rPr>
          <w:rFonts w:ascii="Times New Roman" w:hAnsi="Times New Roman"/>
          <w:color w:val="000000"/>
          <w:sz w:val="28"/>
          <w:highlight w:val="white"/>
        </w:rPr>
        <w:t xml:space="preserve">сторико - краеведческого музея продолжают функционировать маршруты: «Тропинками родного края», «Живая история», которые способствуют привлечению туристов к изучению истории Промышленновского муниципального округа. </w:t>
      </w:r>
    </w:p>
    <w:p w14:paraId="67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В рамках </w:t>
      </w:r>
      <w:r>
        <w:rPr>
          <w:rFonts w:ascii="Times New Roman" w:hAnsi="Times New Roman"/>
          <w:color w:val="000000"/>
          <w:sz w:val="28"/>
          <w:highlight w:val="white"/>
        </w:rPr>
        <w:t>Всекузбасского</w:t>
      </w:r>
      <w:r>
        <w:rPr>
          <w:rFonts w:ascii="Times New Roman" w:hAnsi="Times New Roman"/>
          <w:color w:val="000000"/>
          <w:sz w:val="28"/>
          <w:highlight w:val="white"/>
        </w:rPr>
        <w:t xml:space="preserve"> патриотического проекта «Маршруты Победы» был разработан и реализован цикл пешеходных экскурсий «Дорогами истории» по памятным местам поселка Промышленная, где сотрудники музея рассказывают о героических подвигах жителей Промышленновского района, о вкладе тружеников тыла в Великую Победу. </w:t>
      </w:r>
      <w:r>
        <w:rPr>
          <w:rFonts w:ascii="Times New Roman" w:hAnsi="Times New Roman"/>
          <w:color w:val="000000"/>
          <w:sz w:val="28"/>
          <w:highlight w:val="white"/>
        </w:rPr>
        <w:t>Проведено 74 экскурсии, в которых приняло участие более 1,5 тыс. человек, в том числе по программе «Пушкинская карта» – 360 человек.</w:t>
      </w:r>
    </w:p>
    <w:p w14:paraId="68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Музей активно сотрудничает с такими туристическими фирмами, как «</w:t>
      </w:r>
      <w:r>
        <w:rPr>
          <w:rFonts w:ascii="Times New Roman" w:hAnsi="Times New Roman"/>
          <w:color w:val="000000"/>
          <w:sz w:val="28"/>
          <w:highlight w:val="white"/>
        </w:rPr>
        <w:t>Собус</w:t>
      </w:r>
      <w:r>
        <w:rPr>
          <w:rFonts w:ascii="Times New Roman" w:hAnsi="Times New Roman"/>
          <w:color w:val="000000"/>
          <w:sz w:val="28"/>
          <w:highlight w:val="white"/>
        </w:rPr>
        <w:t>-тур», «</w:t>
      </w:r>
      <w:r>
        <w:rPr>
          <w:rFonts w:ascii="Times New Roman" w:hAnsi="Times New Roman"/>
          <w:color w:val="000000"/>
          <w:sz w:val="28"/>
          <w:highlight w:val="white"/>
        </w:rPr>
        <w:t>АвтобусТур</w:t>
      </w:r>
      <w:r>
        <w:rPr>
          <w:rFonts w:ascii="Times New Roman" w:hAnsi="Times New Roman"/>
          <w:color w:val="000000"/>
          <w:sz w:val="28"/>
          <w:highlight w:val="white"/>
        </w:rPr>
        <w:t>», «Радуга - тур», аэродром «</w:t>
      </w:r>
      <w:r>
        <w:rPr>
          <w:rFonts w:ascii="Times New Roman" w:hAnsi="Times New Roman"/>
          <w:color w:val="000000"/>
          <w:sz w:val="28"/>
          <w:highlight w:val="white"/>
        </w:rPr>
        <w:t>Танай</w:t>
      </w:r>
      <w:r>
        <w:rPr>
          <w:rFonts w:ascii="Times New Roman" w:hAnsi="Times New Roman"/>
          <w:color w:val="000000"/>
          <w:sz w:val="28"/>
          <w:highlight w:val="white"/>
        </w:rPr>
        <w:t>», патриотический музей «Верность».</w:t>
      </w:r>
    </w:p>
    <w:p w14:paraId="69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За 202</w:t>
      </w:r>
      <w:r>
        <w:rPr>
          <w:rFonts w:ascii="Times New Roman" w:hAnsi="Times New Roman"/>
          <w:color w:val="000000"/>
          <w:sz w:val="28"/>
          <w:highlight w:val="white"/>
        </w:rPr>
        <w:t>5</w:t>
      </w:r>
      <w:r>
        <w:rPr>
          <w:rFonts w:ascii="Times New Roman" w:hAnsi="Times New Roman"/>
          <w:color w:val="000000"/>
          <w:sz w:val="28"/>
          <w:highlight w:val="white"/>
        </w:rPr>
        <w:t xml:space="preserve"> год Промышленновский районный </w:t>
      </w:r>
      <w:r>
        <w:rPr>
          <w:rFonts w:ascii="Times New Roman" w:hAnsi="Times New Roman"/>
          <w:color w:val="000000"/>
          <w:sz w:val="28"/>
          <w:highlight w:val="white"/>
        </w:rPr>
        <w:t>И</w:t>
      </w:r>
      <w:r>
        <w:rPr>
          <w:rFonts w:ascii="Times New Roman" w:hAnsi="Times New Roman"/>
          <w:color w:val="000000"/>
          <w:sz w:val="28"/>
          <w:highlight w:val="white"/>
        </w:rPr>
        <w:t>сторико - краеведческий музей посетило более 900 туристов.</w:t>
      </w:r>
    </w:p>
    <w:p w14:paraId="6A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На базе музея функционирует сувенирная лавка, где посетители могут приобрести на память понравившийся сувенир. Все сувениры выполнены руками сотрудников музея и мастерами декоративно - прикладного творчества Промышленновского муниципального округа.</w:t>
      </w:r>
    </w:p>
    <w:p w14:paraId="6B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В 2025 году продолжилась работа по взаимодействию с музеями Кемеровской области – Кузбасса. С февраля по апрель 2025 года совместно с МБУК «Культурно - выставочный центр «Вернисаж» г. Прокопьевска по программе «Пушкинская карта» был реализован выставочный проект «Береста. Народное искусство», который посетило около 1,0 тыс. человек. Посетители выставки знакомились с историей традиционного берестяного промысла, принимали участие в мастер - классе «</w:t>
      </w:r>
      <w:r>
        <w:rPr>
          <w:rFonts w:ascii="Times New Roman" w:hAnsi="Times New Roman"/>
          <w:color w:val="000000"/>
          <w:sz w:val="28"/>
          <w:highlight w:val="white"/>
        </w:rPr>
        <w:t>Шаркунок</w:t>
      </w:r>
      <w:r>
        <w:rPr>
          <w:rFonts w:ascii="Times New Roman" w:hAnsi="Times New Roman"/>
          <w:color w:val="000000"/>
          <w:sz w:val="28"/>
          <w:highlight w:val="white"/>
        </w:rPr>
        <w:t>».</w:t>
      </w:r>
    </w:p>
    <w:p w14:paraId="6C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В июле 2025 года на территории Промышленновского муниципального округа традиционно прошел четвертый муниципальный фестиваль декоративно - прикладного и изобразительного искусства «Округ мастеровой». В фестивале приняло участие более 40 мастеров Промышленновского округа, г. Кемерово, г. Тайги. Всего фестиваль посетило более 3,0 тыс. человек.</w:t>
      </w:r>
    </w:p>
    <w:p w14:paraId="6D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В 2025 году по программе «Пушкинская карта» Промышленновским районным </w:t>
      </w:r>
      <w:r>
        <w:rPr>
          <w:rFonts w:ascii="Times New Roman" w:hAnsi="Times New Roman"/>
          <w:color w:val="000000"/>
          <w:sz w:val="28"/>
          <w:highlight w:val="white"/>
        </w:rPr>
        <w:t>И</w:t>
      </w:r>
      <w:r>
        <w:rPr>
          <w:rFonts w:ascii="Times New Roman" w:hAnsi="Times New Roman"/>
          <w:color w:val="000000"/>
          <w:sz w:val="28"/>
          <w:highlight w:val="white"/>
        </w:rPr>
        <w:t>сторико-краеведческим музеем проведено 110 мероприятий (экскурсии, музейные уроки, музейные занятия, выставки, мастер-классы). Всего по программе «Пушкинская карта» было продано 1 793 билета.</w:t>
      </w:r>
    </w:p>
    <w:p w14:paraId="6E000000">
      <w:pPr>
        <w:spacing w:after="0" w:line="240" w:lineRule="auto"/>
        <w:ind w:firstLine="709" w:left="-1134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Особой популярностью среди молодежи пользовалась автобусная экскурсия «Тропинками родного края» (проведено 15 экскурсий). В рамках данной экскурсии учащиеся побывали в Центре национальной чувашской культуры, где узнали об обычаях и традициях чувашского народа, а в Промышленновском районном </w:t>
      </w:r>
      <w:r>
        <w:rPr>
          <w:rFonts w:ascii="Times New Roman" w:hAnsi="Times New Roman"/>
          <w:color w:val="000000"/>
          <w:sz w:val="28"/>
          <w:highlight w:val="white"/>
        </w:rPr>
        <w:t>И</w:t>
      </w:r>
      <w:r>
        <w:rPr>
          <w:rFonts w:ascii="Times New Roman" w:hAnsi="Times New Roman"/>
          <w:color w:val="000000"/>
          <w:sz w:val="28"/>
          <w:highlight w:val="white"/>
        </w:rPr>
        <w:t>сторико - краеведческом музее приняли участие в мастер - классах по росписи деревянных изделий элементами сибирской росписи «По следам сибирской росписи».</w:t>
      </w:r>
    </w:p>
    <w:p w14:paraId="6F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</w:p>
    <w:p w14:paraId="70000000">
      <w:pPr>
        <w:ind w:firstLine="0" w:left="-1134" w:right="-2"/>
        <w:jc w:val="center"/>
        <w:rPr>
          <w:b w:val="1"/>
          <w:sz w:val="28"/>
        </w:rPr>
      </w:pPr>
      <w:r>
        <w:rPr>
          <w:b w:val="1"/>
          <w:sz w:val="28"/>
        </w:rPr>
        <w:t>Жилищное строительство и обеспечение граждан жильем</w:t>
      </w:r>
    </w:p>
    <w:p w14:paraId="71000000">
      <w:pPr>
        <w:ind w:firstLine="0" w:left="-1134" w:right="-2"/>
        <w:jc w:val="center"/>
        <w:rPr>
          <w:b w:val="1"/>
          <w:sz w:val="28"/>
        </w:rPr>
      </w:pPr>
    </w:p>
    <w:p w14:paraId="72000000">
      <w:pPr>
        <w:ind w:firstLine="708" w:left="-1134" w:right="-2"/>
        <w:jc w:val="both"/>
        <w:rPr>
          <w:sz w:val="28"/>
        </w:rPr>
      </w:pPr>
      <w:r>
        <w:rPr>
          <w:sz w:val="28"/>
        </w:rPr>
        <w:t>По состоянию на 01.01.20</w:t>
      </w:r>
      <w:r>
        <w:rPr>
          <w:sz w:val="28"/>
        </w:rPr>
        <w:t>26</w:t>
      </w:r>
      <w:r>
        <w:rPr>
          <w:sz w:val="28"/>
        </w:rPr>
        <w:t xml:space="preserve"> </w:t>
      </w:r>
      <w:r>
        <w:rPr>
          <w:sz w:val="28"/>
        </w:rPr>
        <w:t>жилищный фонд Промышленновского му</w:t>
      </w:r>
      <w:r>
        <w:rPr>
          <w:sz w:val="28"/>
        </w:rPr>
        <w:t>ниципального округа состав</w:t>
      </w:r>
      <w:r>
        <w:rPr>
          <w:sz w:val="28"/>
        </w:rPr>
        <w:t>и</w:t>
      </w:r>
      <w:r>
        <w:rPr>
          <w:sz w:val="28"/>
        </w:rPr>
        <w:t>л</w:t>
      </w:r>
      <w:r>
        <w:rPr>
          <w:sz w:val="28"/>
        </w:rPr>
        <w:t xml:space="preserve"> </w:t>
      </w:r>
      <w:r>
        <w:rPr>
          <w:sz w:val="28"/>
        </w:rPr>
        <w:t>1 019</w:t>
      </w:r>
      <w:r>
        <w:rPr>
          <w:sz w:val="28"/>
        </w:rPr>
        <w:t>,04</w:t>
      </w:r>
      <w:r>
        <w:rPr>
          <w:sz w:val="28"/>
        </w:rPr>
        <w:t xml:space="preserve"> тыс. кв. метров, </w:t>
      </w:r>
      <w:r>
        <w:rPr>
          <w:sz w:val="28"/>
        </w:rPr>
        <w:t xml:space="preserve"> </w:t>
      </w:r>
      <w:r>
        <w:rPr>
          <w:sz w:val="28"/>
        </w:rPr>
        <w:t>7</w:t>
      </w:r>
      <w:r>
        <w:rPr>
          <w:sz w:val="28"/>
        </w:rPr>
        <w:t>1</w:t>
      </w:r>
      <w:r>
        <w:rPr>
          <w:sz w:val="28"/>
        </w:rPr>
        <w:t>,4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 xml:space="preserve">% жилищного фонда – индивидуальные жилые дома. На многоквартирные дома приходится </w:t>
      </w:r>
      <w:r>
        <w:rPr>
          <w:sz w:val="28"/>
        </w:rPr>
        <w:t xml:space="preserve"> </w:t>
      </w:r>
      <w:r>
        <w:rPr>
          <w:sz w:val="28"/>
        </w:rPr>
        <w:t>19</w:t>
      </w:r>
      <w:r>
        <w:rPr>
          <w:sz w:val="28"/>
        </w:rPr>
        <w:t>9</w:t>
      </w:r>
      <w:r>
        <w:rPr>
          <w:sz w:val="28"/>
        </w:rPr>
        <w:t>,</w:t>
      </w:r>
      <w:r>
        <w:rPr>
          <w:sz w:val="28"/>
        </w:rPr>
        <w:t>14</w:t>
      </w:r>
      <w:r>
        <w:rPr>
          <w:sz w:val="28"/>
        </w:rPr>
        <w:t xml:space="preserve"> тыс. кв. метров жилищного фонда. О</w:t>
      </w:r>
      <w:r>
        <w:rPr>
          <w:sz w:val="28"/>
        </w:rPr>
        <w:t>бщая площадь жилых помещений, приходящаяся в среднем на одного жителя</w:t>
      </w:r>
      <w:r>
        <w:rPr>
          <w:sz w:val="28"/>
        </w:rPr>
        <w:t>,  состав</w:t>
      </w:r>
      <w:r>
        <w:rPr>
          <w:sz w:val="28"/>
        </w:rPr>
        <w:t>ила</w:t>
      </w:r>
      <w:r>
        <w:rPr>
          <w:sz w:val="28"/>
        </w:rPr>
        <w:t xml:space="preserve"> 22</w:t>
      </w:r>
      <w:r>
        <w:rPr>
          <w:sz w:val="28"/>
        </w:rPr>
        <w:t>,40</w:t>
      </w:r>
      <w:r>
        <w:rPr>
          <w:sz w:val="28"/>
        </w:rPr>
        <w:t xml:space="preserve"> кв. метров (за 20</w:t>
      </w:r>
      <w:r>
        <w:rPr>
          <w:sz w:val="28"/>
        </w:rPr>
        <w:t>24</w:t>
      </w:r>
      <w:r>
        <w:rPr>
          <w:sz w:val="28"/>
        </w:rPr>
        <w:t xml:space="preserve"> год</w:t>
      </w:r>
      <w:r>
        <w:rPr>
          <w:sz w:val="28"/>
        </w:rPr>
        <w:t xml:space="preserve"> – 22</w:t>
      </w:r>
      <w:r>
        <w:rPr>
          <w:sz w:val="28"/>
        </w:rPr>
        <w:t>,35</w:t>
      </w:r>
      <w:r>
        <w:rPr>
          <w:sz w:val="28"/>
        </w:rPr>
        <w:t xml:space="preserve"> </w:t>
      </w:r>
      <w:r>
        <w:rPr>
          <w:sz w:val="28"/>
        </w:rPr>
        <w:t>кв.</w:t>
      </w:r>
      <w:r>
        <w:rPr>
          <w:sz w:val="28"/>
        </w:rPr>
        <w:t xml:space="preserve"> </w:t>
      </w:r>
      <w:r>
        <w:rPr>
          <w:sz w:val="28"/>
        </w:rPr>
        <w:t>метров).</w:t>
      </w:r>
      <w:r>
        <w:rPr>
          <w:sz w:val="28"/>
        </w:rPr>
        <w:t xml:space="preserve"> </w:t>
      </w:r>
    </w:p>
    <w:p w14:paraId="73000000">
      <w:pPr>
        <w:ind w:firstLine="708" w:left="-1134" w:right="-2"/>
        <w:jc w:val="both"/>
        <w:rPr>
          <w:sz w:val="28"/>
        </w:rPr>
      </w:pPr>
      <w:r>
        <w:rPr>
          <w:sz w:val="28"/>
        </w:rPr>
        <w:t>В 20</w:t>
      </w:r>
      <w:r>
        <w:rPr>
          <w:sz w:val="28"/>
        </w:rPr>
        <w:t>25</w:t>
      </w:r>
      <w:r>
        <w:rPr>
          <w:sz w:val="28"/>
        </w:rPr>
        <w:t xml:space="preserve"> году доля населения, получившего жилые  помещения и улучшившего жилищные условия в общей численности населения, состоящего на учете в качестве нуждающегося </w:t>
      </w:r>
      <w:r>
        <w:rPr>
          <w:sz w:val="28"/>
        </w:rPr>
        <w:t>в жилых помещениях составила</w:t>
      </w:r>
      <w:r>
        <w:rPr>
          <w:sz w:val="28"/>
        </w:rPr>
        <w:t xml:space="preserve"> 6</w:t>
      </w:r>
      <w:r>
        <w:rPr>
          <w:sz w:val="28"/>
        </w:rPr>
        <w:t>,59</w:t>
      </w:r>
      <w:r>
        <w:rPr>
          <w:sz w:val="28"/>
        </w:rPr>
        <w:t xml:space="preserve"> % (за 20</w:t>
      </w:r>
      <w:r>
        <w:rPr>
          <w:sz w:val="28"/>
        </w:rPr>
        <w:t>24</w:t>
      </w:r>
      <w:r>
        <w:rPr>
          <w:sz w:val="28"/>
        </w:rPr>
        <w:t xml:space="preserve"> год – 3</w:t>
      </w:r>
      <w:r>
        <w:rPr>
          <w:sz w:val="28"/>
        </w:rPr>
        <w:t>,81</w:t>
      </w:r>
      <w:r>
        <w:rPr>
          <w:sz w:val="28"/>
        </w:rPr>
        <w:t xml:space="preserve"> %). </w:t>
      </w:r>
    </w:p>
    <w:p w14:paraId="74000000">
      <w:pPr>
        <w:ind w:firstLine="708" w:left="-1134" w:right="-2"/>
        <w:jc w:val="both"/>
        <w:rPr>
          <w:sz w:val="28"/>
        </w:rPr>
      </w:pPr>
      <w:r>
        <w:rPr>
          <w:sz w:val="28"/>
        </w:rPr>
        <w:t>Жильем обеспечены 29 граждан, ранее относившихся к категории детей – сирот:</w:t>
      </w:r>
    </w:p>
    <w:p w14:paraId="75000000">
      <w:pPr>
        <w:ind w:firstLine="708" w:left="-1134" w:right="-2"/>
        <w:jc w:val="both"/>
        <w:rPr>
          <w:sz w:val="28"/>
        </w:rPr>
      </w:pPr>
      <w:r>
        <w:rPr>
          <w:sz w:val="28"/>
        </w:rPr>
        <w:t>14 предоставлены благоустроенные квартиры, в том числе одному участнику  специальной  военной  операции;</w:t>
      </w:r>
    </w:p>
    <w:p w14:paraId="76000000">
      <w:pPr>
        <w:ind w:firstLine="708" w:left="-1134" w:right="-2"/>
        <w:jc w:val="both"/>
        <w:rPr>
          <w:sz w:val="28"/>
        </w:rPr>
      </w:pPr>
      <w:r>
        <w:rPr>
          <w:sz w:val="28"/>
        </w:rPr>
        <w:t>15 граждан, включенных в список сирот, подлежащих обеспечению жильем по Промышленновскому муниципальному округу, приобрели жилье в собственность на средства социальной выплаты по региональным свидетельствам, выданным Министерством.</w:t>
      </w:r>
    </w:p>
    <w:p w14:paraId="77000000">
      <w:pPr>
        <w:ind w:firstLine="708" w:left="-1134" w:right="-2"/>
        <w:jc w:val="both"/>
        <w:rPr>
          <w:sz w:val="28"/>
        </w:rPr>
      </w:pPr>
      <w:r>
        <w:rPr>
          <w:sz w:val="28"/>
        </w:rPr>
        <w:t>Одна многодетная семья получила безвозмездную помощь из средств регионального бюджета в виде социальной выплаты на приобретение жилья в размере 2,0 млн. рублей.</w:t>
      </w:r>
    </w:p>
    <w:p w14:paraId="78000000">
      <w:pPr>
        <w:ind w:firstLine="708" w:left="-1134" w:right="-2"/>
        <w:jc w:val="both"/>
        <w:rPr>
          <w:sz w:val="28"/>
        </w:rPr>
      </w:pPr>
    </w:p>
    <w:p w14:paraId="79000000">
      <w:pPr>
        <w:ind w:firstLine="708" w:left="-1134" w:right="-2"/>
        <w:jc w:val="center"/>
        <w:rPr>
          <w:sz w:val="28"/>
        </w:rPr>
      </w:pPr>
      <w:r>
        <w:rPr>
          <w:b w:val="1"/>
          <w:sz w:val="28"/>
        </w:rPr>
        <w:t>Жилищно - коммунальное хозяйство</w:t>
      </w:r>
    </w:p>
    <w:p w14:paraId="7A000000">
      <w:pPr>
        <w:ind w:firstLine="0" w:left="-1134" w:right="-2"/>
        <w:jc w:val="center"/>
        <w:rPr>
          <w:b w:val="1"/>
          <w:sz w:val="28"/>
        </w:rPr>
      </w:pPr>
    </w:p>
    <w:p w14:paraId="7B000000">
      <w:pPr>
        <w:pStyle w:val="Style_3"/>
        <w:ind w:firstLine="709" w:left="-1134" w:right="-2"/>
        <w:jc w:val="both"/>
        <w:rPr>
          <w:sz w:val="28"/>
        </w:rPr>
      </w:pPr>
      <w:r>
        <w:rPr>
          <w:sz w:val="28"/>
        </w:rPr>
        <w:t>Расходы  на  жилищно - коммунальное хозяйство за 2025</w:t>
      </w:r>
      <w:r>
        <w:rPr>
          <w:sz w:val="28"/>
        </w:rPr>
        <w:t xml:space="preserve"> год составили 1 490,0 млн. рублей.</w:t>
      </w:r>
    </w:p>
    <w:p w14:paraId="7C000000">
      <w:pPr>
        <w:pStyle w:val="Style_3"/>
        <w:ind w:firstLine="709" w:left="-1134" w:right="-2"/>
        <w:jc w:val="both"/>
        <w:rPr>
          <w:sz w:val="28"/>
        </w:rPr>
      </w:pPr>
      <w:r>
        <w:rPr>
          <w:sz w:val="28"/>
        </w:rPr>
        <w:t>В целях улучшения качества водоснабжения и питьевой воды в 2025 году  построили  центральный водопровод в д. Шипицино, протяженностью 4,7 км с установкой станции очистки воды.</w:t>
      </w:r>
    </w:p>
    <w:p w14:paraId="7D000000">
      <w:pPr>
        <w:pStyle w:val="Style_3"/>
        <w:ind w:firstLine="709" w:left="-1134" w:right="-2"/>
        <w:jc w:val="both"/>
        <w:rPr>
          <w:sz w:val="28"/>
        </w:rPr>
      </w:pPr>
      <w:r>
        <w:rPr>
          <w:sz w:val="28"/>
        </w:rPr>
        <w:t>Построен центральный водопровод для подключения физкультурно -оздоровительного комплекса в п. Плотниково. Выполняется строительство канализационных очистных сооружений. Стоимость работ 1 712 млн. рублей. Этап работ 2024 – 2026 годы.</w:t>
      </w:r>
    </w:p>
    <w:p w14:paraId="7E000000">
      <w:pPr>
        <w:pStyle w:val="Style_3"/>
        <w:ind w:firstLine="709" w:left="-1134" w:right="-2"/>
        <w:jc w:val="both"/>
        <w:rPr>
          <w:sz w:val="28"/>
        </w:rPr>
      </w:pPr>
      <w:r>
        <w:rPr>
          <w:sz w:val="28"/>
        </w:rPr>
        <w:t xml:space="preserve"> В</w:t>
      </w:r>
      <w:r>
        <w:rPr>
          <w:sz w:val="28"/>
        </w:rPr>
        <w:t xml:space="preserve"> рамках мероприятия «Капитальный ремонт объектов водоснабжения и водоотведения» выполнено работ на общую сумму 14,7 млн. рублей</w:t>
      </w:r>
      <w:r>
        <w:rPr>
          <w:sz w:val="28"/>
        </w:rPr>
        <w:t>:</w:t>
      </w:r>
    </w:p>
    <w:p w14:paraId="7F000000">
      <w:pPr>
        <w:pStyle w:val="Style_3"/>
        <w:numPr>
          <w:ilvl w:val="0"/>
          <w:numId w:val="1"/>
        </w:numPr>
        <w:tabs>
          <w:tab w:leader="none" w:pos="0" w:val="left"/>
          <w:tab w:leader="none" w:pos="426" w:val="left"/>
        </w:tabs>
        <w:ind w:firstLine="708" w:left="-1134" w:right="-2"/>
        <w:jc w:val="both"/>
        <w:rPr>
          <w:sz w:val="28"/>
        </w:rPr>
      </w:pPr>
      <w:r>
        <w:rPr>
          <w:sz w:val="28"/>
        </w:rPr>
        <w:t>капитальный ремонт здания насосно - фильтровальной станции  в пгт. Промышленная и водопроводных скважин в с. Березово и с. Тарасово</w:t>
      </w:r>
      <w:r>
        <w:rPr>
          <w:sz w:val="28"/>
        </w:rPr>
        <w:t>;</w:t>
      </w:r>
    </w:p>
    <w:p w14:paraId="80000000">
      <w:pPr>
        <w:pStyle w:val="Style_3"/>
        <w:numPr>
          <w:ilvl w:val="0"/>
          <w:numId w:val="1"/>
        </w:numPr>
        <w:tabs>
          <w:tab w:leader="none" w:pos="0" w:val="left"/>
          <w:tab w:leader="none" w:pos="426" w:val="left"/>
        </w:tabs>
        <w:ind w:firstLine="708" w:left="-1134" w:right="-2"/>
        <w:jc w:val="both"/>
        <w:rPr>
          <w:sz w:val="28"/>
        </w:rPr>
      </w:pPr>
      <w:r>
        <w:rPr>
          <w:sz w:val="28"/>
        </w:rPr>
        <w:t>капитальный   ремонт  участков   центрального   водопровода   в   пгт. Промышленная по ул. Коммунистическая, Механическая, Березовая, Новая, Тельмана;</w:t>
      </w:r>
    </w:p>
    <w:p w14:paraId="81000000">
      <w:pPr>
        <w:pStyle w:val="Style_3"/>
        <w:numPr>
          <w:ilvl w:val="0"/>
          <w:numId w:val="1"/>
        </w:numPr>
        <w:tabs>
          <w:tab w:leader="none" w:pos="0" w:val="left"/>
          <w:tab w:leader="none" w:pos="426" w:val="left"/>
        </w:tabs>
        <w:ind w:firstLine="708" w:left="-1134" w:right="-2"/>
        <w:jc w:val="both"/>
        <w:rPr>
          <w:sz w:val="28"/>
        </w:rPr>
      </w:pPr>
      <w:r>
        <w:rPr>
          <w:sz w:val="28"/>
        </w:rPr>
        <w:t>капитально отремонтировано 18 скважинных насосов и 14 водопроводных колодцев;</w:t>
      </w:r>
    </w:p>
    <w:p w14:paraId="82000000">
      <w:pPr>
        <w:pStyle w:val="Style_3"/>
        <w:numPr>
          <w:ilvl w:val="0"/>
          <w:numId w:val="1"/>
        </w:numPr>
        <w:tabs>
          <w:tab w:leader="none" w:pos="0" w:val="left"/>
          <w:tab w:leader="none" w:pos="426" w:val="left"/>
        </w:tabs>
        <w:ind w:firstLine="708" w:left="-1134" w:right="-2"/>
        <w:jc w:val="both"/>
        <w:rPr>
          <w:sz w:val="28"/>
        </w:rPr>
      </w:pPr>
      <w:r>
        <w:rPr>
          <w:sz w:val="28"/>
        </w:rPr>
        <w:t>капитальный ремонт коллектора по ул. Тельмана и канализационных сетей по ул. Луговой в пгт. Промышленная.</w:t>
      </w:r>
    </w:p>
    <w:p w14:paraId="83000000">
      <w:pPr>
        <w:pStyle w:val="Style_3"/>
        <w:tabs>
          <w:tab w:leader="none" w:pos="0" w:val="left"/>
          <w:tab w:leader="none" w:pos="426" w:val="left"/>
        </w:tabs>
        <w:ind w:firstLine="708" w:left="-1134" w:right="-2"/>
        <w:jc w:val="both"/>
        <w:rPr>
          <w:sz w:val="28"/>
        </w:rPr>
      </w:pPr>
      <w:r>
        <w:rPr>
          <w:sz w:val="28"/>
        </w:rPr>
        <w:t>Программа капитального ремонта объектов теплоснабжения выполнены в полном объеме на сумму 52,0 млн. рублей.</w:t>
      </w:r>
    </w:p>
    <w:p w14:paraId="84000000">
      <w:pPr>
        <w:pStyle w:val="Style_3"/>
        <w:tabs>
          <w:tab w:leader="none" w:pos="0" w:val="left"/>
          <w:tab w:leader="none" w:pos="426" w:val="left"/>
        </w:tabs>
        <w:ind w:firstLine="708" w:left="-1134" w:right="-2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>2025 году в рамках мероприятия «Содержание и ремонт автомобильных дорог местного значения» выполнены работы на 128,0 млн. рублей. С начала года в округе отсыпано ПГС более 5 км дорог.</w:t>
      </w:r>
    </w:p>
    <w:p w14:paraId="85000000">
      <w:pPr>
        <w:pStyle w:val="Style_3"/>
        <w:ind w:firstLine="709" w:left="-1134" w:right="-2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>2025</w:t>
      </w:r>
      <w:r>
        <w:rPr>
          <w:sz w:val="28"/>
        </w:rPr>
        <w:t xml:space="preserve"> году в Промышленновском округе в </w:t>
      </w:r>
      <w:r>
        <w:rPr>
          <w:sz w:val="28"/>
        </w:rPr>
        <w:t xml:space="preserve">рамках национального проекта </w:t>
      </w:r>
      <w:r>
        <w:rPr>
          <w:sz w:val="28"/>
        </w:rPr>
        <w:t>«Жилье и городская среда» отремонтировано пять общественных территорий на общую сумму 8,0 млн. рублей.</w:t>
      </w:r>
    </w:p>
    <w:p w14:paraId="86000000">
      <w:pPr>
        <w:pStyle w:val="Style_3"/>
        <w:ind w:firstLine="709" w:left="-1134" w:right="-2"/>
        <w:jc w:val="both"/>
        <w:rPr>
          <w:sz w:val="28"/>
        </w:rPr>
      </w:pPr>
      <w:r>
        <w:rPr>
          <w:sz w:val="28"/>
        </w:rPr>
        <w:t xml:space="preserve">В рамках </w:t>
      </w:r>
      <w:r>
        <w:rPr>
          <w:sz w:val="28"/>
        </w:rPr>
        <w:t xml:space="preserve">реализации </w:t>
      </w:r>
      <w:r>
        <w:rPr>
          <w:sz w:val="28"/>
        </w:rPr>
        <w:t xml:space="preserve">региональных </w:t>
      </w:r>
      <w:r>
        <w:rPr>
          <w:sz w:val="28"/>
        </w:rPr>
        <w:t xml:space="preserve">проектов </w:t>
      </w:r>
      <w:r>
        <w:rPr>
          <w:sz w:val="28"/>
        </w:rPr>
        <w:t xml:space="preserve">инициативного бюджетирования «Твой  Кузбасс – твоя инициатива» в </w:t>
      </w:r>
      <w:r>
        <w:rPr>
          <w:sz w:val="28"/>
        </w:rPr>
        <w:t xml:space="preserve">населенных пунктах </w:t>
      </w:r>
      <w:r>
        <w:rPr>
          <w:sz w:val="28"/>
        </w:rPr>
        <w:t>Промышленно</w:t>
      </w:r>
      <w:r>
        <w:rPr>
          <w:sz w:val="28"/>
        </w:rPr>
        <w:t>го муниципального</w:t>
      </w:r>
      <w:r>
        <w:rPr>
          <w:sz w:val="28"/>
        </w:rPr>
        <w:t xml:space="preserve"> округ</w:t>
      </w:r>
      <w:r>
        <w:rPr>
          <w:sz w:val="28"/>
        </w:rPr>
        <w:t>а</w:t>
      </w:r>
      <w:r>
        <w:rPr>
          <w:sz w:val="28"/>
        </w:rPr>
        <w:t xml:space="preserve"> в 2025</w:t>
      </w:r>
      <w:r>
        <w:rPr>
          <w:sz w:val="28"/>
        </w:rPr>
        <w:t xml:space="preserve"> году проведены работы </w:t>
      </w:r>
      <w:r>
        <w:rPr>
          <w:sz w:val="28"/>
        </w:rPr>
        <w:t>по благоустройству 7</w:t>
      </w:r>
      <w:r>
        <w:rPr>
          <w:sz w:val="28"/>
        </w:rPr>
        <w:t xml:space="preserve"> территорий кладбища (текущий ремонт) на общую сумму 14,1 млн. рублей.  </w:t>
      </w:r>
    </w:p>
    <w:p w14:paraId="87000000">
      <w:pPr>
        <w:pStyle w:val="Style_3"/>
        <w:ind w:firstLine="709" w:left="-1134" w:right="-2"/>
        <w:jc w:val="both"/>
        <w:rPr>
          <w:b w:val="1"/>
          <w:sz w:val="28"/>
        </w:rPr>
      </w:pPr>
    </w:p>
    <w:p w14:paraId="88000000">
      <w:pPr>
        <w:pStyle w:val="Style_3"/>
        <w:ind w:firstLine="709" w:left="-1134" w:right="-2"/>
        <w:jc w:val="both"/>
        <w:rPr>
          <w:b w:val="1"/>
          <w:sz w:val="28"/>
        </w:rPr>
      </w:pPr>
      <w:r>
        <w:rPr>
          <w:b w:val="1"/>
          <w:sz w:val="28"/>
        </w:rPr>
        <w:t>Энергосбережение и повышение энергетической эффективности</w:t>
      </w:r>
    </w:p>
    <w:p w14:paraId="89000000">
      <w:pPr>
        <w:pStyle w:val="Style_3"/>
        <w:ind w:firstLine="709" w:left="-1134" w:right="-2"/>
        <w:jc w:val="both"/>
        <w:rPr>
          <w:b w:val="1"/>
          <w:sz w:val="28"/>
        </w:rPr>
      </w:pPr>
    </w:p>
    <w:p w14:paraId="8A000000">
      <w:pPr>
        <w:ind w:firstLine="708" w:left="-1134" w:right="-2"/>
        <w:jc w:val="both"/>
        <w:rPr>
          <w:sz w:val="28"/>
        </w:rPr>
      </w:pPr>
      <w:r>
        <w:rPr>
          <w:sz w:val="28"/>
        </w:rPr>
        <w:t xml:space="preserve">По состоянию на </w:t>
      </w:r>
      <w:r>
        <w:rPr>
          <w:sz w:val="28"/>
        </w:rPr>
        <w:t>01.01.20</w:t>
      </w:r>
      <w:r>
        <w:rPr>
          <w:sz w:val="28"/>
        </w:rPr>
        <w:t>26</w:t>
      </w:r>
      <w:r>
        <w:rPr>
          <w:sz w:val="28"/>
        </w:rPr>
        <w:t xml:space="preserve"> </w:t>
      </w:r>
      <w:r>
        <w:rPr>
          <w:sz w:val="28"/>
        </w:rPr>
        <w:t xml:space="preserve">года в бюджетных учреждениях установлено 230 электросчетчиков, </w:t>
      </w:r>
      <w:r>
        <w:rPr>
          <w:sz w:val="28"/>
        </w:rPr>
        <w:t>8</w:t>
      </w:r>
      <w:r>
        <w:rPr>
          <w:sz w:val="28"/>
        </w:rPr>
        <w:t>2</w:t>
      </w:r>
      <w:r>
        <w:rPr>
          <w:sz w:val="28"/>
        </w:rPr>
        <w:t xml:space="preserve"> прибо</w:t>
      </w:r>
      <w:r>
        <w:rPr>
          <w:sz w:val="28"/>
        </w:rPr>
        <w:t>р</w:t>
      </w:r>
      <w:r>
        <w:rPr>
          <w:sz w:val="28"/>
        </w:rPr>
        <w:t>а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 xml:space="preserve">учета </w:t>
      </w:r>
      <w:r>
        <w:rPr>
          <w:sz w:val="28"/>
        </w:rPr>
        <w:t xml:space="preserve"> </w:t>
      </w:r>
      <w:r>
        <w:rPr>
          <w:sz w:val="28"/>
        </w:rPr>
        <w:t xml:space="preserve">тепловой </w:t>
      </w:r>
      <w:r>
        <w:rPr>
          <w:sz w:val="28"/>
        </w:rPr>
        <w:t xml:space="preserve"> энергии, </w:t>
      </w:r>
      <w:r>
        <w:rPr>
          <w:sz w:val="28"/>
        </w:rPr>
        <w:t>141</w:t>
      </w:r>
      <w:r>
        <w:rPr>
          <w:sz w:val="28"/>
        </w:rPr>
        <w:t xml:space="preserve"> водосчетчик. </w:t>
      </w:r>
      <w:r>
        <w:rPr>
          <w:sz w:val="28"/>
        </w:rPr>
        <w:t>Это позволяет  вести строгий учет</w:t>
      </w:r>
      <w:r>
        <w:rPr>
          <w:sz w:val="28"/>
        </w:rPr>
        <w:t xml:space="preserve"> </w:t>
      </w:r>
      <w:r>
        <w:rPr>
          <w:sz w:val="28"/>
        </w:rPr>
        <w:t xml:space="preserve"> энергоресурсов,  анализировать расходы. </w:t>
      </w:r>
    </w:p>
    <w:p w14:paraId="8B000000">
      <w:pPr>
        <w:ind w:firstLine="708" w:left="-1134" w:right="-2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>расчет</w:t>
      </w:r>
      <w:r>
        <w:rPr>
          <w:sz w:val="28"/>
        </w:rPr>
        <w:t>е</w:t>
      </w:r>
      <w:r>
        <w:rPr>
          <w:sz w:val="28"/>
        </w:rPr>
        <w:t xml:space="preserve"> на 1 человека населения округа</w:t>
      </w:r>
      <w:r>
        <w:rPr>
          <w:sz w:val="28"/>
        </w:rPr>
        <w:t xml:space="preserve"> муниципальные бюджетные учреждения потребили в </w:t>
      </w:r>
      <w:r>
        <w:rPr>
          <w:sz w:val="28"/>
        </w:rPr>
        <w:t>20</w:t>
      </w:r>
      <w:r>
        <w:rPr>
          <w:sz w:val="28"/>
        </w:rPr>
        <w:t>25</w:t>
      </w:r>
      <w:r>
        <w:rPr>
          <w:sz w:val="28"/>
        </w:rPr>
        <w:t xml:space="preserve"> г</w:t>
      </w:r>
      <w:r>
        <w:rPr>
          <w:sz w:val="28"/>
        </w:rPr>
        <w:t>оду 129</w:t>
      </w:r>
      <w:r>
        <w:rPr>
          <w:sz w:val="28"/>
        </w:rPr>
        <w:t>,9</w:t>
      </w:r>
      <w:r>
        <w:rPr>
          <w:sz w:val="28"/>
        </w:rPr>
        <w:t xml:space="preserve"> кВт/ч</w:t>
      </w:r>
      <w:r>
        <w:rPr>
          <w:sz w:val="28"/>
        </w:rPr>
        <w:t xml:space="preserve">. (на  </w:t>
      </w:r>
      <w:r>
        <w:rPr>
          <w:sz w:val="28"/>
        </w:rPr>
        <w:t>0,1</w:t>
      </w:r>
      <w:r>
        <w:rPr>
          <w:sz w:val="28"/>
        </w:rPr>
        <w:t xml:space="preserve"> % меньше, чем в 20</w:t>
      </w:r>
      <w:r>
        <w:rPr>
          <w:sz w:val="28"/>
        </w:rPr>
        <w:t>24</w:t>
      </w:r>
      <w:r>
        <w:rPr>
          <w:sz w:val="28"/>
        </w:rPr>
        <w:t xml:space="preserve"> году)</w:t>
      </w:r>
      <w:r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>1,37</w:t>
      </w:r>
      <w:r>
        <w:rPr>
          <w:sz w:val="28"/>
        </w:rPr>
        <w:t xml:space="preserve"> </w:t>
      </w:r>
      <w:r>
        <w:rPr>
          <w:sz w:val="28"/>
        </w:rPr>
        <w:t xml:space="preserve"> к</w:t>
      </w:r>
      <w:r>
        <w:rPr>
          <w:sz w:val="28"/>
        </w:rPr>
        <w:t>уб</w:t>
      </w:r>
      <w:r>
        <w:rPr>
          <w:sz w:val="28"/>
        </w:rPr>
        <w:t>. метров  холодной воды (на</w:t>
      </w:r>
      <w:r>
        <w:rPr>
          <w:sz w:val="28"/>
        </w:rPr>
        <w:t xml:space="preserve"> 0,7 % меньше, чем в 2024 году</w:t>
      </w:r>
      <w:r>
        <w:rPr>
          <w:sz w:val="28"/>
        </w:rPr>
        <w:t>).</w:t>
      </w:r>
    </w:p>
    <w:p w14:paraId="8C000000">
      <w:pPr>
        <w:ind w:firstLine="708" w:left="-1134" w:right="-2"/>
        <w:jc w:val="both"/>
        <w:rPr>
          <w:b w:val="1"/>
          <w:sz w:val="28"/>
        </w:rPr>
      </w:pPr>
      <w:r>
        <w:rPr>
          <w:sz w:val="28"/>
        </w:rPr>
        <w:t>В округе</w:t>
      </w:r>
      <w:r>
        <w:rPr>
          <w:sz w:val="28"/>
        </w:rPr>
        <w:t xml:space="preserve"> реализуется целевая программа «</w:t>
      </w:r>
      <w:r>
        <w:rPr>
          <w:sz w:val="28"/>
        </w:rPr>
        <w:t>Жилищно - коммунальный и дорожный комплекс, энергосбережение и  повышение энергоэффективности экономики» на 2018</w:t>
      </w:r>
      <w:r>
        <w:rPr>
          <w:sz w:val="28"/>
        </w:rPr>
        <w:t xml:space="preserve"> </w:t>
      </w:r>
      <w:r>
        <w:rPr>
          <w:sz w:val="28"/>
        </w:rPr>
        <w:t>-</w:t>
      </w:r>
      <w:r>
        <w:rPr>
          <w:sz w:val="28"/>
        </w:rPr>
        <w:t xml:space="preserve"> </w:t>
      </w:r>
      <w:r>
        <w:rPr>
          <w:sz w:val="28"/>
        </w:rPr>
        <w:t>2027</w:t>
      </w:r>
      <w:r>
        <w:rPr>
          <w:sz w:val="28"/>
        </w:rPr>
        <w:t xml:space="preserve"> г</w:t>
      </w:r>
      <w:r>
        <w:rPr>
          <w:sz w:val="28"/>
        </w:rPr>
        <w:t>оды»</w:t>
      </w:r>
      <w:r>
        <w:rPr>
          <w:sz w:val="28"/>
        </w:rPr>
        <w:t>.</w:t>
      </w:r>
      <w:r>
        <w:rPr>
          <w:sz w:val="28"/>
        </w:rPr>
        <w:t xml:space="preserve"> </w:t>
      </w:r>
    </w:p>
    <w:p w14:paraId="8D000000">
      <w:pPr>
        <w:ind w:firstLine="0" w:left="-1134" w:right="-2"/>
        <w:jc w:val="both"/>
        <w:rPr>
          <w:b w:val="1"/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 </w:t>
      </w:r>
    </w:p>
    <w:p w14:paraId="8E000000">
      <w:pPr>
        <w:ind w:firstLine="0" w:left="-1134" w:right="-2"/>
        <w:jc w:val="center"/>
        <w:rPr>
          <w:b w:val="1"/>
          <w:sz w:val="28"/>
        </w:rPr>
      </w:pPr>
      <w:r>
        <w:rPr>
          <w:b w:val="1"/>
          <w:sz w:val="28"/>
        </w:rPr>
        <w:t>О</w:t>
      </w:r>
      <w:r>
        <w:rPr>
          <w:b w:val="1"/>
          <w:sz w:val="28"/>
        </w:rPr>
        <w:t>рганизация муниципального управления</w:t>
      </w:r>
    </w:p>
    <w:p w14:paraId="8F000000">
      <w:pPr>
        <w:ind w:firstLine="0" w:left="-1134" w:right="-2"/>
        <w:jc w:val="center"/>
        <w:rPr>
          <w:sz w:val="28"/>
        </w:rPr>
      </w:pPr>
    </w:p>
    <w:p w14:paraId="90000000">
      <w:pPr>
        <w:ind w:firstLine="708" w:left="-1134" w:right="-2"/>
        <w:jc w:val="both"/>
        <w:rPr>
          <w:sz w:val="28"/>
        </w:rPr>
      </w:pPr>
      <w:r>
        <w:rPr>
          <w:sz w:val="28"/>
        </w:rPr>
        <w:t>Организация муниципального управления характеризуется  показателями общего объема расходов бюджета по основным статьям.  Доля налоговых и неналоговых доходов местного бюджета в общем объем</w:t>
      </w:r>
      <w:r>
        <w:rPr>
          <w:sz w:val="28"/>
        </w:rPr>
        <w:t xml:space="preserve">е собственных доходов составила </w:t>
      </w:r>
      <w:r>
        <w:rPr>
          <w:sz w:val="28"/>
        </w:rPr>
        <w:t>14</w:t>
      </w:r>
      <w:r>
        <w:rPr>
          <w:sz w:val="28"/>
        </w:rPr>
        <w:t>,17</w:t>
      </w:r>
      <w:r>
        <w:rPr>
          <w:sz w:val="28"/>
        </w:rPr>
        <w:t xml:space="preserve"> </w:t>
      </w:r>
      <w:r>
        <w:rPr>
          <w:sz w:val="28"/>
        </w:rPr>
        <w:t>%.</w:t>
      </w:r>
      <w:r>
        <w:rPr>
          <w:sz w:val="28"/>
        </w:rPr>
        <w:t xml:space="preserve"> Расходы бюджета на содержание органов местного</w:t>
      </w:r>
      <w:r>
        <w:rPr>
          <w:sz w:val="28"/>
        </w:rPr>
        <w:t xml:space="preserve"> </w:t>
      </w:r>
      <w:r>
        <w:rPr>
          <w:sz w:val="28"/>
        </w:rPr>
        <w:t xml:space="preserve"> самоуправления в расчете на одного жителя </w:t>
      </w:r>
      <w:r>
        <w:rPr>
          <w:sz w:val="28"/>
        </w:rPr>
        <w:t>округ</w:t>
      </w:r>
      <w:r>
        <w:rPr>
          <w:sz w:val="28"/>
        </w:rPr>
        <w:t>а составили  в 20</w:t>
      </w:r>
      <w:r>
        <w:rPr>
          <w:sz w:val="28"/>
        </w:rPr>
        <w:t>25</w:t>
      </w:r>
      <w:r>
        <w:rPr>
          <w:sz w:val="28"/>
        </w:rPr>
        <w:t xml:space="preserve"> </w:t>
      </w:r>
      <w:r>
        <w:rPr>
          <w:sz w:val="28"/>
        </w:rPr>
        <w:t>году</w:t>
      </w:r>
      <w:r>
        <w:rPr>
          <w:sz w:val="28"/>
        </w:rPr>
        <w:t xml:space="preserve"> </w:t>
      </w:r>
      <w:r>
        <w:rPr>
          <w:sz w:val="28"/>
        </w:rPr>
        <w:t>3</w:t>
      </w:r>
      <w:r>
        <w:rPr>
          <w:sz w:val="28"/>
        </w:rPr>
        <w:t> 972</w:t>
      </w:r>
      <w:r>
        <w:rPr>
          <w:sz w:val="28"/>
        </w:rPr>
        <w:t>,2</w:t>
      </w:r>
      <w:r>
        <w:rPr>
          <w:sz w:val="28"/>
        </w:rPr>
        <w:t xml:space="preserve">  рублей.</w:t>
      </w:r>
    </w:p>
    <w:p w14:paraId="91000000">
      <w:pPr>
        <w:ind w:firstLine="708" w:left="-1134" w:right="-2"/>
        <w:jc w:val="both"/>
        <w:rPr>
          <w:sz w:val="28"/>
        </w:rPr>
      </w:pPr>
      <w:r>
        <w:rPr>
          <w:sz w:val="28"/>
        </w:rPr>
        <w:t>Первоочередными направлениями является обеспечение выполнения принятых социальных обязательств, включая поддержку семей участников СВО, выплата заработной платы не ниже установленного законодательством минимального размера оплаты труда.</w:t>
      </w:r>
    </w:p>
    <w:p w14:paraId="92000000">
      <w:pPr>
        <w:ind w:firstLine="708" w:left="-1134" w:right="-2"/>
        <w:jc w:val="both"/>
        <w:rPr>
          <w:sz w:val="28"/>
        </w:rPr>
      </w:pPr>
      <w:r>
        <w:rPr>
          <w:sz w:val="28"/>
        </w:rPr>
        <w:t>В округе</w:t>
      </w:r>
      <w:r>
        <w:rPr>
          <w:sz w:val="28"/>
        </w:rPr>
        <w:t xml:space="preserve"> проводится последовательная работа по обеспечению доступности и качества муниципальных услуг для населения. </w:t>
      </w:r>
    </w:p>
    <w:p w14:paraId="93000000">
      <w:pPr>
        <w:tabs>
          <w:tab w:leader="none" w:pos="3120" w:val="left"/>
        </w:tabs>
        <w:ind w:firstLine="0" w:left="-1134" w:right="-2"/>
        <w:jc w:val="both"/>
        <w:rPr>
          <w:sz w:val="28"/>
        </w:rPr>
      </w:pPr>
    </w:p>
    <w:p w14:paraId="94000000">
      <w:pPr>
        <w:tabs>
          <w:tab w:leader="none" w:pos="3120" w:val="left"/>
        </w:tabs>
        <w:ind w:firstLine="0" w:left="-1134" w:right="-2"/>
        <w:jc w:val="both"/>
        <w:rPr>
          <w:sz w:val="28"/>
        </w:rPr>
      </w:pPr>
    </w:p>
    <w:p w14:paraId="95000000">
      <w:pPr>
        <w:tabs>
          <w:tab w:leader="none" w:pos="3120" w:val="left"/>
        </w:tabs>
        <w:ind w:firstLine="0" w:left="-1134" w:right="-2"/>
        <w:jc w:val="both"/>
        <w:rPr>
          <w:sz w:val="28"/>
        </w:rPr>
      </w:pPr>
    </w:p>
    <w:tbl>
      <w:tblPr>
        <w:tblStyle w:val="Style_4"/>
        <w:tblInd w:type="dxa" w:w="-1026"/>
        <w:tblLayout w:type="fixed"/>
      </w:tblPr>
      <w:tblGrid>
        <w:gridCol w:w="5954"/>
        <w:gridCol w:w="3544"/>
      </w:tblGrid>
      <w:tr>
        <w:tc>
          <w:tcPr>
            <w:tcW w:type="dxa" w:w="5954"/>
            <w:shd w:fill="auto" w:val="clear"/>
          </w:tcPr>
          <w:p w14:paraId="96000000">
            <w:pPr>
              <w:tabs>
                <w:tab w:leader="none" w:pos="1310" w:val="left"/>
              </w:tabs>
              <w:ind w:firstLine="567" w:left="-1134" w:right="-2"/>
              <w:rPr>
                <w:sz w:val="28"/>
              </w:rPr>
            </w:pPr>
            <w:r>
              <w:rPr>
                <w:sz w:val="28"/>
              </w:rPr>
              <w:t xml:space="preserve">                </w:t>
            </w:r>
            <w:r>
              <w:rPr>
                <w:sz w:val="28"/>
              </w:rPr>
              <w:t xml:space="preserve">         </w:t>
            </w:r>
            <w:r>
              <w:rPr>
                <w:sz w:val="28"/>
              </w:rPr>
              <w:t xml:space="preserve"> З</w:t>
            </w:r>
            <w:r>
              <w:rPr>
                <w:sz w:val="28"/>
              </w:rPr>
              <w:t>аместитель</w:t>
            </w:r>
            <w:r>
              <w:rPr>
                <w:sz w:val="28"/>
              </w:rPr>
              <w:t xml:space="preserve"> главы</w:t>
            </w:r>
          </w:p>
        </w:tc>
        <w:tc>
          <w:tcPr>
            <w:tcW w:type="dxa" w:w="3544"/>
            <w:shd w:fill="auto" w:val="clear"/>
          </w:tcPr>
          <w:p w14:paraId="97000000">
            <w:pPr>
              <w:ind w:firstLine="0" w:left="-1134" w:right="-2"/>
              <w:rPr>
                <w:sz w:val="28"/>
              </w:rPr>
            </w:pPr>
          </w:p>
        </w:tc>
      </w:tr>
      <w:tr>
        <w:tc>
          <w:tcPr>
            <w:tcW w:type="dxa" w:w="5954"/>
            <w:shd w:fill="auto" w:val="clear"/>
          </w:tcPr>
          <w:p w14:paraId="98000000">
            <w:pPr>
              <w:ind w:firstLine="0" w:left="-108" w:right="-2"/>
              <w:rPr>
                <w:sz w:val="28"/>
              </w:rPr>
            </w:pPr>
            <w:r>
              <w:rPr>
                <w:sz w:val="28"/>
              </w:rPr>
              <w:t xml:space="preserve">Промышленновского муниципального </w:t>
            </w:r>
            <w:r>
              <w:rPr>
                <w:sz w:val="28"/>
              </w:rPr>
              <w:t>округ</w:t>
            </w:r>
            <w:r>
              <w:rPr>
                <w:sz w:val="28"/>
              </w:rPr>
              <w:t>а</w:t>
            </w:r>
          </w:p>
          <w:p w14:paraId="99000000">
            <w:pPr>
              <w:ind w:firstLine="0" w:left="-1134" w:right="-2"/>
              <w:jc w:val="center"/>
              <w:rPr>
                <w:sz w:val="28"/>
              </w:rPr>
            </w:pPr>
          </w:p>
        </w:tc>
        <w:tc>
          <w:tcPr>
            <w:tcW w:type="dxa" w:w="3544"/>
            <w:shd w:fill="auto" w:val="clear"/>
          </w:tcPr>
          <w:p w14:paraId="9A000000">
            <w:pPr>
              <w:ind w:firstLine="884" w:left="-1134" w:right="0"/>
              <w:rPr>
                <w:sz w:val="28"/>
              </w:rPr>
            </w:pPr>
            <w:r>
              <w:rPr>
                <w:sz w:val="28"/>
              </w:rPr>
              <w:t xml:space="preserve">        </w:t>
            </w:r>
            <w:r>
              <w:rPr>
                <w:sz w:val="28"/>
              </w:rPr>
              <w:t xml:space="preserve">        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А.А</w:t>
            </w:r>
            <w:r>
              <w:rPr>
                <w:sz w:val="28"/>
              </w:rPr>
              <w:t>. Селиверст</w:t>
            </w:r>
            <w:r>
              <w:rPr>
                <w:sz w:val="28"/>
              </w:rPr>
              <w:t>ов</w:t>
            </w:r>
            <w:r>
              <w:rPr>
                <w:sz w:val="28"/>
              </w:rPr>
              <w:t>а</w:t>
            </w:r>
          </w:p>
        </w:tc>
      </w:tr>
    </w:tbl>
    <w:p w14:paraId="9B000000"/>
    <w:sectPr>
      <w:footerReference r:id="rId1" w:type="default"/>
      <w:pgSz w:h="16838" w:orient="portrait" w:w="11906"/>
      <w:pgMar w:bottom="1672" w:footer="708" w:gutter="0" w:header="708" w:left="2694" w:right="850" w:top="1276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right"/>
    </w:pPr>
  </w:p>
  <w:p w14:paraId="02000000">
    <w:pPr>
      <w:pStyle w:val="Style_1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ind w:hanging="360" w:left="862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582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302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022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742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462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182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902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622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Intense Quote"/>
    <w:basedOn w:val="Style_5"/>
    <w:next w:val="Style_5"/>
    <w:link w:val="Style_10_ch"/>
    <w:pPr>
      <w:spacing w:after="280" w:before="200"/>
      <w:ind w:firstLine="0" w:left="936" w:right="936"/>
    </w:pPr>
    <w:rPr>
      <w:b w:val="1"/>
      <w:i w:val="1"/>
      <w:color w:val="4F81BD"/>
    </w:rPr>
  </w:style>
  <w:style w:styleId="Style_10_ch" w:type="character">
    <w:name w:val="Intense Quote"/>
    <w:basedOn w:val="Style_5_ch"/>
    <w:link w:val="Style_10"/>
    <w:rPr>
      <w:b w:val="1"/>
      <w:i w:val="1"/>
      <w:color w:val="4F81BD"/>
    </w:rPr>
  </w:style>
  <w:style w:styleId="Style_11" w:type="paragraph">
    <w:name w:val="Emphasis"/>
    <w:basedOn w:val="Style_12"/>
    <w:link w:val="Style_11_ch"/>
    <w:rPr>
      <w:i w:val="1"/>
    </w:rPr>
  </w:style>
  <w:style w:styleId="Style_11_ch" w:type="character">
    <w:name w:val="Emphasis"/>
    <w:basedOn w:val="Style_12_ch"/>
    <w:link w:val="Style_11"/>
    <w:rPr>
      <w:i w:val="1"/>
    </w:rPr>
  </w:style>
  <w:style w:styleId="Style_13" w:type="paragraph">
    <w:name w:val="heading 3"/>
    <w:next w:val="Style_5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Strong"/>
    <w:basedOn w:val="Style_12"/>
    <w:link w:val="Style_14_ch"/>
    <w:rPr>
      <w:b w:val="1"/>
    </w:rPr>
  </w:style>
  <w:style w:styleId="Style_14_ch" w:type="character">
    <w:name w:val="Strong"/>
    <w:basedOn w:val="Style_12_ch"/>
    <w:link w:val="Style_14"/>
    <w:rPr>
      <w:b w:val="1"/>
    </w:rPr>
  </w:style>
  <w:style w:styleId="Style_2" w:type="paragraph">
    <w:name w:val="Body Text"/>
    <w:basedOn w:val="Style_5"/>
    <w:link w:val="Style_2_ch"/>
    <w:pPr>
      <w:ind/>
      <w:jc w:val="both"/>
    </w:pPr>
    <w:rPr>
      <w:sz w:val="32"/>
    </w:rPr>
  </w:style>
  <w:style w:styleId="Style_2_ch" w:type="character">
    <w:name w:val="Body Text"/>
    <w:basedOn w:val="Style_5_ch"/>
    <w:link w:val="Style_2"/>
    <w:rPr>
      <w:sz w:val="32"/>
    </w:rPr>
  </w:style>
  <w:style w:styleId="Style_15" w:type="paragraph">
    <w:name w:val="header"/>
    <w:basedOn w:val="Style_5"/>
    <w:link w:val="Style_15_ch"/>
    <w:pPr>
      <w:tabs>
        <w:tab w:leader="none" w:pos="4677" w:val="center"/>
        <w:tab w:leader="none" w:pos="9355" w:val="right"/>
      </w:tabs>
      <w:ind/>
    </w:pPr>
  </w:style>
  <w:style w:styleId="Style_15_ch" w:type="character">
    <w:name w:val="header"/>
    <w:basedOn w:val="Style_5_ch"/>
    <w:link w:val="Style_15"/>
  </w:style>
  <w:style w:styleId="Style_1" w:type="paragraph">
    <w:name w:val="footer"/>
    <w:basedOn w:val="Style_5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5_ch"/>
    <w:link w:val="Style_1"/>
  </w:style>
  <w:style w:styleId="Style_16" w:type="paragraph">
    <w:name w:val="Без интервала1"/>
    <w:link w:val="Style_16_ch"/>
    <w:rPr>
      <w:rFonts w:ascii="Calibri" w:hAnsi="Calibri"/>
      <w:sz w:val="22"/>
    </w:rPr>
  </w:style>
  <w:style w:styleId="Style_16_ch" w:type="character">
    <w:name w:val="Без интервала1"/>
    <w:link w:val="Style_16"/>
    <w:rPr>
      <w:rFonts w:ascii="Calibri" w:hAnsi="Calibri"/>
      <w:sz w:val="22"/>
    </w:rPr>
  </w:style>
  <w:style w:styleId="Style_17" w:type="paragraph">
    <w:name w:val="toc 3"/>
    <w:next w:val="Style_5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Balloon Text"/>
    <w:basedOn w:val="Style_5"/>
    <w:link w:val="Style_18_ch"/>
    <w:rPr>
      <w:rFonts w:ascii="Tahoma" w:hAnsi="Tahoma"/>
      <w:sz w:val="16"/>
    </w:rPr>
  </w:style>
  <w:style w:styleId="Style_18_ch" w:type="character">
    <w:name w:val="Balloon Text"/>
    <w:basedOn w:val="Style_5_ch"/>
    <w:link w:val="Style_18"/>
    <w:rPr>
      <w:rFonts w:ascii="Tahoma" w:hAnsi="Tahoma"/>
      <w:sz w:val="16"/>
    </w:rPr>
  </w:style>
  <w:style w:styleId="Style_19" w:type="paragraph">
    <w:name w:val="caption"/>
    <w:basedOn w:val="Style_5"/>
    <w:next w:val="Style_5"/>
    <w:link w:val="Style_19_ch"/>
    <w:rPr>
      <w:b w:val="1"/>
      <w:sz w:val="20"/>
    </w:rPr>
  </w:style>
  <w:style w:styleId="Style_19_ch" w:type="character">
    <w:name w:val="caption"/>
    <w:basedOn w:val="Style_5_ch"/>
    <w:link w:val="Style_19"/>
    <w:rPr>
      <w:b w:val="1"/>
      <w:sz w:val="20"/>
    </w:rPr>
  </w:style>
  <w:style w:styleId="Style_20" w:type="paragraph">
    <w:name w:val="Intense Emphasis"/>
    <w:basedOn w:val="Style_12"/>
    <w:link w:val="Style_20_ch"/>
    <w:rPr>
      <w:b w:val="1"/>
      <w:i w:val="1"/>
      <w:color w:val="4F81BD"/>
    </w:rPr>
  </w:style>
  <w:style w:styleId="Style_20_ch" w:type="character">
    <w:name w:val="Intense Emphasis"/>
    <w:basedOn w:val="Style_12_ch"/>
    <w:link w:val="Style_20"/>
    <w:rPr>
      <w:b w:val="1"/>
      <w:i w:val="1"/>
      <w:color w:val="4F81BD"/>
    </w:rPr>
  </w:style>
  <w:style w:styleId="Style_21" w:type="paragraph">
    <w:name w:val="heading 5"/>
    <w:next w:val="Style_5"/>
    <w:link w:val="Style_2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heading 1"/>
    <w:basedOn w:val="Style_5"/>
    <w:next w:val="Style_5"/>
    <w:link w:val="Style_22_ch"/>
    <w:uiPriority w:val="9"/>
    <w:qFormat/>
    <w:pPr>
      <w:keepNext w:val="1"/>
      <w:spacing w:after="60" w:before="240"/>
      <w:ind/>
      <w:outlineLvl w:val="0"/>
    </w:pPr>
    <w:rPr>
      <w:rFonts w:ascii="Cambria" w:hAnsi="Cambria"/>
      <w:b w:val="1"/>
      <w:sz w:val="32"/>
    </w:rPr>
  </w:style>
  <w:style w:styleId="Style_22_ch" w:type="character">
    <w:name w:val="heading 1"/>
    <w:basedOn w:val="Style_5_ch"/>
    <w:link w:val="Style_22"/>
    <w:rPr>
      <w:rFonts w:ascii="Cambria" w:hAnsi="Cambria"/>
      <w:b w:val="1"/>
      <w:sz w:val="32"/>
    </w:rPr>
  </w:style>
  <w:style w:styleId="Style_23" w:type="paragraph">
    <w:name w:val="Hyperlink"/>
    <w:link w:val="Style_23_ch"/>
    <w:rPr>
      <w:color w:val="0000FF"/>
      <w:u w:val="single"/>
    </w:rPr>
  </w:style>
  <w:style w:styleId="Style_23_ch" w:type="character">
    <w:name w:val="Hyperlink"/>
    <w:link w:val="Style_23"/>
    <w:rPr>
      <w:color w:val="0000FF"/>
      <w:u w:val="single"/>
    </w:rPr>
  </w:style>
  <w:style w:styleId="Style_24" w:type="paragraph">
    <w:name w:val="Footnote"/>
    <w:link w:val="Style_24_ch"/>
    <w:pPr>
      <w:ind w:firstLine="851" w:left="0"/>
      <w:jc w:val="both"/>
    </w:pPr>
    <w:rPr>
      <w:rFonts w:ascii="XO Thames" w:hAnsi="XO Thames"/>
      <w:sz w:val="22"/>
    </w:rPr>
  </w:style>
  <w:style w:styleId="Style_24_ch" w:type="character">
    <w:name w:val="Footnote"/>
    <w:link w:val="Style_24"/>
    <w:rPr>
      <w:rFonts w:ascii="XO Thames" w:hAnsi="XO Thames"/>
      <w:sz w:val="2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25" w:type="paragraph">
    <w:name w:val="toc 1"/>
    <w:next w:val="Style_5"/>
    <w:link w:val="Style_2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Header and Footer"/>
    <w:link w:val="Style_26_ch"/>
    <w:pPr>
      <w:spacing w:line="240" w:lineRule="auto"/>
      <w:ind/>
      <w:jc w:val="both"/>
    </w:pPr>
    <w:rPr>
      <w:rFonts w:ascii="XO Thames" w:hAnsi="XO Thames"/>
      <w:sz w:val="20"/>
    </w:rPr>
  </w:style>
  <w:style w:styleId="Style_26_ch" w:type="character">
    <w:name w:val="Header and Footer"/>
    <w:link w:val="Style_26"/>
    <w:rPr>
      <w:rFonts w:ascii="XO Thames" w:hAnsi="XO Thames"/>
      <w:sz w:val="20"/>
    </w:rPr>
  </w:style>
  <w:style w:styleId="Style_3" w:type="paragraph">
    <w:name w:val="No Spacing"/>
    <w:link w:val="Style_3_ch"/>
    <w:rPr>
      <w:sz w:val="24"/>
    </w:rPr>
  </w:style>
  <w:style w:styleId="Style_3_ch" w:type="character">
    <w:name w:val="No Spacing"/>
    <w:link w:val="Style_3"/>
    <w:rPr>
      <w:sz w:val="24"/>
    </w:rPr>
  </w:style>
  <w:style w:styleId="Style_27" w:type="paragraph">
    <w:name w:val="toc 9"/>
    <w:next w:val="Style_5"/>
    <w:link w:val="Style_2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8" w:type="paragraph">
    <w:name w:val="toc 8"/>
    <w:next w:val="Style_5"/>
    <w:link w:val="Style_2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29" w:type="paragraph">
    <w:name w:val="Normal (Web)"/>
    <w:basedOn w:val="Style_5"/>
    <w:link w:val="Style_29_ch"/>
    <w:pPr>
      <w:spacing w:afterAutospacing="on" w:beforeAutospacing="on"/>
      <w:ind/>
    </w:pPr>
  </w:style>
  <w:style w:styleId="Style_29_ch" w:type="character">
    <w:name w:val="Normal (Web)"/>
    <w:basedOn w:val="Style_5_ch"/>
    <w:link w:val="Style_29"/>
  </w:style>
  <w:style w:styleId="Style_30" w:type="paragraph">
    <w:name w:val="Subtle Emphasis"/>
    <w:basedOn w:val="Style_12"/>
    <w:link w:val="Style_30_ch"/>
    <w:rPr>
      <w:i w:val="1"/>
      <w:color w:val="808080"/>
    </w:rPr>
  </w:style>
  <w:style w:styleId="Style_30_ch" w:type="character">
    <w:name w:val="Subtle Emphasis"/>
    <w:basedOn w:val="Style_12_ch"/>
    <w:link w:val="Style_30"/>
    <w:rPr>
      <w:i w:val="1"/>
      <w:color w:val="808080"/>
    </w:rPr>
  </w:style>
  <w:style w:styleId="Style_31" w:type="paragraph">
    <w:name w:val="toc 5"/>
    <w:next w:val="Style_5"/>
    <w:link w:val="Style_3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32" w:type="paragraph">
    <w:name w:val="List Paragraph"/>
    <w:basedOn w:val="Style_5"/>
    <w:link w:val="Style_32_ch"/>
    <w:pPr>
      <w:ind w:firstLine="0" w:left="720"/>
      <w:contextualSpacing w:val="1"/>
    </w:pPr>
  </w:style>
  <w:style w:styleId="Style_32_ch" w:type="character">
    <w:name w:val="List Paragraph"/>
    <w:basedOn w:val="Style_5_ch"/>
    <w:link w:val="Style_32"/>
  </w:style>
  <w:style w:styleId="Style_33" w:type="paragraph">
    <w:name w:val="Default"/>
    <w:link w:val="Style_33_ch"/>
    <w:rPr>
      <w:color w:val="000000"/>
      <w:sz w:val="24"/>
    </w:rPr>
  </w:style>
  <w:style w:styleId="Style_33_ch" w:type="character">
    <w:name w:val="Default"/>
    <w:link w:val="Style_33"/>
    <w:rPr>
      <w:color w:val="000000"/>
      <w:sz w:val="24"/>
    </w:rPr>
  </w:style>
  <w:style w:styleId="Style_34" w:type="paragraph">
    <w:name w:val="Subtitle"/>
    <w:next w:val="Style_5"/>
    <w:link w:val="Style_3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4_ch" w:type="character">
    <w:name w:val="Subtitle"/>
    <w:link w:val="Style_34"/>
    <w:rPr>
      <w:rFonts w:ascii="XO Thames" w:hAnsi="XO Thames"/>
      <w:i w:val="1"/>
      <w:sz w:val="24"/>
    </w:rPr>
  </w:style>
  <w:style w:styleId="Style_35" w:type="paragraph">
    <w:name w:val="Title"/>
    <w:basedOn w:val="Style_5"/>
    <w:next w:val="Style_5"/>
    <w:link w:val="Style_35_ch"/>
    <w:uiPriority w:val="10"/>
    <w:qFormat/>
    <w:pPr>
      <w:spacing w:after="60" w:before="240"/>
      <w:ind/>
      <w:jc w:val="center"/>
      <w:outlineLvl w:val="0"/>
    </w:pPr>
    <w:rPr>
      <w:rFonts w:ascii="Cambria" w:hAnsi="Cambria"/>
      <w:b w:val="1"/>
      <w:sz w:val="32"/>
    </w:rPr>
  </w:style>
  <w:style w:styleId="Style_35_ch" w:type="character">
    <w:name w:val="Title"/>
    <w:basedOn w:val="Style_5_ch"/>
    <w:link w:val="Style_35"/>
    <w:rPr>
      <w:rFonts w:ascii="Cambria" w:hAnsi="Cambria"/>
      <w:b w:val="1"/>
      <w:sz w:val="32"/>
    </w:rPr>
  </w:style>
  <w:style w:styleId="Style_36" w:type="paragraph">
    <w:name w:val="heading 4"/>
    <w:next w:val="Style_5"/>
    <w:link w:val="Style_3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6_ch" w:type="character">
    <w:name w:val="heading 4"/>
    <w:link w:val="Style_36"/>
    <w:rPr>
      <w:rFonts w:ascii="XO Thames" w:hAnsi="XO Thames"/>
      <w:b w:val="1"/>
      <w:sz w:val="24"/>
    </w:rPr>
  </w:style>
  <w:style w:styleId="Style_37" w:type="paragraph">
    <w:name w:val="heading 2"/>
    <w:basedOn w:val="Style_5"/>
    <w:next w:val="Style_5"/>
    <w:link w:val="Style_37_ch"/>
    <w:uiPriority w:val="9"/>
    <w:qFormat/>
    <w:pPr>
      <w:keepNext w:val="1"/>
      <w:spacing w:before="60" w:line="240" w:lineRule="exact"/>
      <w:ind/>
      <w:jc w:val="center"/>
      <w:outlineLvl w:val="1"/>
    </w:pPr>
    <w:rPr>
      <w:rFonts w:ascii="Arial" w:hAnsi="Arial"/>
      <w:b w:val="1"/>
      <w:caps w:val="1"/>
      <w:sz w:val="22"/>
    </w:rPr>
  </w:style>
  <w:style w:styleId="Style_37_ch" w:type="character">
    <w:name w:val="heading 2"/>
    <w:basedOn w:val="Style_5_ch"/>
    <w:link w:val="Style_37"/>
    <w:rPr>
      <w:rFonts w:ascii="Arial" w:hAnsi="Arial"/>
      <w:b w:val="1"/>
      <w:caps w:val="1"/>
      <w:sz w:val="22"/>
    </w:rPr>
  </w:style>
  <w:style w:styleId="Style_38" w:type="paragraph">
    <w:name w:val="Обычный1"/>
    <w:link w:val="Style_38_ch"/>
    <w:rPr>
      <w:rFonts w:ascii="XO Thames" w:hAnsi="XO Thames"/>
      <w:sz w:val="28"/>
    </w:rPr>
  </w:style>
  <w:style w:styleId="Style_38_ch" w:type="character">
    <w:name w:val="Обычный1"/>
    <w:link w:val="Style_38"/>
    <w:rPr>
      <w:rFonts w:ascii="XO Thames" w:hAnsi="XO Thames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2026-05-04T04:41:38Z</dcterms:modified>
</cp:coreProperties>
</file>